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635A2" w:rsidR="002C2E29" w:rsidP="00E635A2" w:rsidRDefault="004033D8" w14:paraId="7F6961A1" w14:textId="77777777">
      <w:pPr>
        <w:jc w:val="right"/>
        <w:rPr>
          <w:b/>
          <w:bCs/>
          <w:sz w:val="20"/>
          <w:szCs w:val="20"/>
        </w:rPr>
      </w:pPr>
      <w:r w:rsidRPr="00E635A2">
        <w:rPr>
          <w:rFonts w:hint="cs"/>
          <w:sz w:val="20"/>
          <w:szCs w:val="20"/>
          <w:rtl/>
        </w:rPr>
        <w:t xml:space="preserve">מספר פנימי: </w:t>
      </w:r>
      <w:bookmarkStart w:name="LGS_Internal_ID" w:id="0"/>
      <w:r>
        <w:rPr>
          <w:rFonts w:hint="cs"/>
          <w:sz w:val="20"/>
          <w:szCs w:val="20"/>
          <w:rtl/>
        </w:rPr>
        <w:t>2197937</w:t>
      </w:r>
      <w:bookmarkEnd w:id="0"/>
    </w:p>
    <w:p w:rsidRPr="00DB7060" w:rsidR="00E13C27" w:rsidP="00A443CF" w:rsidRDefault="00E13C27" w14:paraId="7F6961A2" w14:textId="53D639AE">
      <w:pPr>
        <w:pStyle w:val="HeadHatzaotHok"/>
        <w:rPr>
          <w:sz w:val="28"/>
          <w:szCs w:val="28"/>
          <w:rtl/>
        </w:rPr>
      </w:pPr>
      <w:r w:rsidRPr="00DB7060">
        <w:rPr>
          <w:rFonts w:hint="cs"/>
          <w:sz w:val="28"/>
          <w:szCs w:val="28"/>
          <w:rtl/>
        </w:rPr>
        <w:t xml:space="preserve">הכנסת </w:t>
      </w:r>
      <w:bookmarkStart w:name="LGS_Knesset_Num" w:id="1"/>
      <w:r>
        <w:rPr>
          <w:rFonts w:hint="cs"/>
          <w:sz w:val="28"/>
          <w:szCs w:val="28"/>
          <w:rtl/>
        </w:rPr>
        <w:t>העשרים וחמש</w:t>
      </w:r>
      <w:bookmarkEnd w:id="1"/>
    </w:p>
    <w:p w:rsidRPr="00F67051" w:rsidR="00E13C27" w:rsidP="00E13C27" w:rsidRDefault="00E13C27" w14:paraId="7F6961A3" w14:textId="77777777">
      <w:pPr>
        <w:rPr>
          <w:b/>
          <w:bCs/>
          <w:sz w:val="26"/>
          <w:szCs w:val="26"/>
          <w:rtl/>
        </w:rPr>
      </w:pPr>
    </w:p>
    <w:p w:rsidRPr="00CF1AA2" w:rsidR="00E13C27" w:rsidP="00FA498A" w:rsidRDefault="008F6665" w14:paraId="7F6961AA" w14:textId="184FAADE">
      <w:pPr>
        <w:pStyle w:val="David"/>
        <w:spacing w:before="102"/>
        <w:ind w:left="3544"/>
        <w:rPr>
          <w:b/>
          <w:bCs/>
          <w:sz w:val="16"/>
          <w:szCs w:val="16"/>
          <w:rtl/>
        </w:rPr>
      </w:pPr>
      <w:bookmarkStart w:name="LGS_Initiators_List" w:id="2"/>
      <w:r>
        <w:rPr>
          <w:b/>
          <w:bCs/>
          <w:rtl/>
        </w:rPr>
        <w:t>יוזם:</w:t>
      </w:r>
      <w:r>
        <w:tab/>
      </w:r>
      <w:r>
        <w:rPr>
          <w:b/>
          <w:bCs/>
          <w:rtl/>
        </w:rPr>
        <w:t xml:space="preserve">      חבר הכנסת</w:t>
      </w:r>
      <w:bookmarkEnd w:id="2"/>
      <w:r w:rsidRPr="00F67051" w:rsidR="00B35784">
        <w:rPr>
          <w:b/>
          <w:bCs/>
        </w:rPr>
        <w:tab/>
      </w:r>
      <w:bookmarkStart w:name="LGS_PM_Names" w:id="3"/>
      <w:r>
        <w:rPr>
          <w:rFonts w:hint="cs"/>
          <w:b/>
          <w:bCs/>
          <w:rtl/>
        </w:rPr>
        <w:t>משה סעדה</w:t>
      </w:r>
      <w:bookmarkStart w:name="LGS_Join_List" w:id="4"/>
      <w:bookmarkEnd w:id="3"/>
      <w:r w:rsidR="007D585A">
        <w:rPr>
          <w:rtl/>
        </w:rPr>
        <w:t xml:space="preserve"> </w:t>
      </w:r>
      <w:bookmarkEnd w:id="4"/>
      <w:r w:rsidRPr="00CF1AA2" w:rsidR="002200A1">
        <w:rPr>
          <w:rFonts w:hint="cs"/>
          <w:rtl/>
        </w:rPr>
        <w:tab/>
      </w:r>
      <w:bookmarkStart w:name="LGS_PM_NamesJoin" w:id="5"/>
      <w:r w:rsidR="007D585A">
        <w:rPr>
          <w:rFonts w:hint="cs"/>
          <w:rtl/>
        </w:rPr>
        <w:t xml:space="preserve"> </w:t>
      </w:r>
      <w:bookmarkEnd w:id="5"/>
    </w:p>
    <w:p w:rsidRPr="00904591" w:rsidR="00904591" w:rsidP="0036422C" w:rsidRDefault="00266D86" w14:paraId="34DB4103" w14:textId="77777777">
      <w:pPr>
        <w:pStyle w:val="David"/>
        <w:ind w:left="3544"/>
        <w:rPr>
          <w:sz w:val="4"/>
          <w:szCs w:val="4"/>
          <w:rtl/>
        </w:rPr>
      </w:pPr>
      <w:r>
        <w:t>____</w:t>
      </w:r>
      <w:r w:rsidR="00E374F2">
        <w:t>__</w:t>
      </w:r>
      <w:r>
        <w:t>________________________________________</w:t>
      </w:r>
      <w:r w:rsidRPr="00E06736" w:rsidR="00E06736">
        <w:tab/>
      </w:r>
      <w:r w:rsidRPr="00E06736" w:rsidR="00E13C27">
        <w:rPr>
          <w:rFonts w:hint="cs"/>
          <w:rtl/>
        </w:rPr>
        <w:tab/>
      </w:r>
      <w:r w:rsidRPr="00E06736" w:rsidR="00E13C27">
        <w:rPr>
          <w:rFonts w:hint="cs"/>
          <w:rtl/>
        </w:rPr>
        <w:tab/>
      </w:r>
      <w:r w:rsidRPr="00E06736" w:rsidR="00E13C27">
        <w:rPr>
          <w:rFonts w:hint="cs"/>
          <w:rtl/>
        </w:rPr>
        <w:tab/>
      </w:r>
      <w:r w:rsidR="00904591">
        <w:t xml:space="preserve">           </w:t>
      </w:r>
    </w:p>
    <w:p w:rsidRPr="00E06736" w:rsidR="00E13C27" w:rsidP="00FA498A" w:rsidRDefault="00904591" w14:paraId="7F6961AB" w14:textId="70391ED5">
      <w:pPr>
        <w:pStyle w:val="David"/>
        <w:spacing w:line="240" w:lineRule="auto"/>
        <w:ind w:left="6424" w:firstLine="56"/>
        <w:rPr>
          <w:rtl/>
        </w:rPr>
      </w:pPr>
      <w:bookmarkStart w:name="Private_Number" w:id="6"/>
      <w:r>
        <w:rPr>
          <w:rFonts w:hint="cs"/>
          <w:rtl/>
        </w:rPr>
        <w:t>פ/586/25</w:t>
      </w:r>
      <w:bookmarkEnd w:id="6"/>
    </w:p>
    <w:p w:rsidRPr="00F67051" w:rsidR="00E13C27" w:rsidP="002E41A4" w:rsidRDefault="00A443CF" w14:paraId="7F6961AD" w14:textId="53D2E858">
      <w:pPr>
        <w:pStyle w:val="HeadHatzaotHok"/>
        <w:rPr>
          <w:rtl/>
        </w:rPr>
      </w:pPr>
      <w:bookmarkStart w:name="LGS_Subject" w:id="7"/>
      <w:r>
        <w:rPr>
          <w:rFonts w:hint="cs"/>
          <w:rtl/>
        </w:rPr>
        <w:t>הצעת חוק לתיקון פקודת המשטרה (המחלקה לחקירת שוטרים), התשפ"ג–2022</w:t>
      </w:r>
      <w:bookmarkEnd w:id="7"/>
    </w:p>
    <w:tbl>
      <w:tblPr>
        <w:bidiVisual/>
        <w:tblW w:w="9638"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24"/>
        <w:gridCol w:w="624"/>
        <w:gridCol w:w="624"/>
        <w:gridCol w:w="4647"/>
      </w:tblGrid>
      <w:tr w:rsidRPr="00FA498A" w:rsidR="000672B4" w:rsidTr="00FA498A" w14:paraId="43D78D5F" w14:textId="77777777">
        <w:trPr>
          <w:cantSplit/>
        </w:trPr>
        <w:tc>
          <w:tcPr>
            <w:tcW w:w="1871" w:type="dxa"/>
          </w:tcPr>
          <w:p w:rsidRPr="00FA498A" w:rsidR="000672B4" w:rsidP="000672B4" w:rsidRDefault="002E41A4" w14:paraId="3BADD7AB" w14:textId="11B507CC">
            <w:pPr>
              <w:pStyle w:val="TableSideHeading"/>
              <w:rPr>
                <w:sz w:val="26"/>
              </w:rPr>
            </w:pPr>
            <w:r w:rsidRPr="00FA498A">
              <w:rPr>
                <w:rFonts w:hint="cs"/>
                <w:sz w:val="26"/>
                <w:rtl/>
              </w:rPr>
              <w:t>תיקון כותרת פרק רביעי 2</w:t>
            </w:r>
          </w:p>
        </w:tc>
        <w:tc>
          <w:tcPr>
            <w:tcW w:w="624" w:type="dxa"/>
          </w:tcPr>
          <w:p w:rsidRPr="00FA498A" w:rsidR="000672B4" w:rsidP="002E41A4" w:rsidRDefault="002E41A4" w14:paraId="17379F01" w14:textId="7C623327">
            <w:pPr>
              <w:pStyle w:val="TableText"/>
              <w:keepLines w:val="0"/>
              <w:rPr>
                <w:sz w:val="26"/>
              </w:rPr>
            </w:pPr>
            <w:r w:rsidRPr="00FA498A">
              <w:rPr>
                <w:rFonts w:hint="cs"/>
                <w:sz w:val="26"/>
                <w:rtl/>
              </w:rPr>
              <w:t>1.</w:t>
            </w:r>
          </w:p>
        </w:tc>
        <w:tc>
          <w:tcPr>
            <w:tcW w:w="7143" w:type="dxa"/>
            <w:gridSpan w:val="5"/>
          </w:tcPr>
          <w:p w:rsidRPr="00FA498A" w:rsidR="000672B4" w:rsidP="00FA498A" w:rsidRDefault="002E41A4" w14:paraId="4BDBA1B5" w14:textId="79D547C2">
            <w:pPr>
              <w:pStyle w:val="TableBlock"/>
              <w:rPr>
                <w:sz w:val="26"/>
              </w:rPr>
            </w:pPr>
            <w:r w:rsidRPr="00FA498A">
              <w:rPr>
                <w:rFonts w:hint="cs"/>
                <w:sz w:val="26"/>
                <w:rtl/>
              </w:rPr>
              <w:t>בפקודת המשטרה [נוסח חדש], התשל"א</w:t>
            </w:r>
            <w:r w:rsidRPr="00FA498A">
              <w:rPr>
                <w:rFonts w:hint="eastAsia"/>
                <w:sz w:val="26"/>
                <w:rtl/>
              </w:rPr>
              <w:t>–</w:t>
            </w:r>
            <w:r w:rsidRPr="00FA498A">
              <w:rPr>
                <w:rFonts w:hint="cs"/>
                <w:sz w:val="26"/>
                <w:rtl/>
              </w:rPr>
              <w:t>1971</w:t>
            </w:r>
            <w:r w:rsidRPr="00FA498A">
              <w:rPr>
                <w:rStyle w:val="a5"/>
                <w:rFonts w:ascii="David" w:hAnsi="David"/>
                <w:sz w:val="26"/>
                <w:rtl/>
              </w:rPr>
              <w:footnoteReference w:id="2"/>
            </w:r>
            <w:r w:rsidRPr="00FA498A">
              <w:rPr>
                <w:rFonts w:hint="cs"/>
                <w:sz w:val="26"/>
                <w:rtl/>
              </w:rPr>
              <w:t xml:space="preserve"> (להלן </w:t>
            </w:r>
            <w:r w:rsidRPr="00FA498A">
              <w:rPr>
                <w:sz w:val="26"/>
                <w:rtl/>
              </w:rPr>
              <w:t>–</w:t>
            </w:r>
            <w:r w:rsidRPr="00FA498A">
              <w:rPr>
                <w:rFonts w:hint="cs"/>
                <w:sz w:val="26"/>
                <w:rtl/>
              </w:rPr>
              <w:t xml:space="preserve"> הפקודה),</w:t>
            </w:r>
            <w:r w:rsidR="00FA498A">
              <w:rPr>
                <w:rFonts w:hint="cs"/>
                <w:sz w:val="26"/>
                <w:rtl/>
              </w:rPr>
              <w:t xml:space="preserve"> </w:t>
            </w:r>
            <w:r w:rsidRPr="00FA498A">
              <w:rPr>
                <w:rFonts w:hint="cs"/>
                <w:sz w:val="26"/>
                <w:rtl/>
              </w:rPr>
              <w:t>בכותרת פרק רביעי 2, במקום "שוטרים ועובדי שירות הביטחון הכללי" יבוא "שוטרים, עובדי שירות הביטחון הכללי ותובעים".</w:t>
            </w:r>
          </w:p>
        </w:tc>
      </w:tr>
      <w:tr w:rsidRPr="00FA498A" w:rsidR="002E41A4" w:rsidTr="00FA498A" w14:paraId="1575D3A6" w14:textId="77777777">
        <w:trPr>
          <w:cantSplit/>
        </w:trPr>
        <w:tc>
          <w:tcPr>
            <w:tcW w:w="1871" w:type="dxa"/>
          </w:tcPr>
          <w:p w:rsidRPr="00FA498A" w:rsidR="002E41A4" w:rsidP="002E41A4" w:rsidRDefault="002E41A4" w14:paraId="48275873" w14:textId="4C380E02">
            <w:pPr>
              <w:pStyle w:val="TableSideHeading"/>
              <w:rPr>
                <w:sz w:val="26"/>
                <w:rtl/>
              </w:rPr>
            </w:pPr>
            <w:r w:rsidRPr="00FA498A">
              <w:rPr>
                <w:sz w:val="26"/>
                <w:rtl/>
              </w:rPr>
              <w:t>הוספת סעיף 49ט2</w:t>
            </w:r>
          </w:p>
        </w:tc>
        <w:tc>
          <w:tcPr>
            <w:tcW w:w="624" w:type="dxa"/>
          </w:tcPr>
          <w:p w:rsidRPr="00FA498A" w:rsidR="002E41A4" w:rsidP="002E41A4" w:rsidRDefault="002E41A4" w14:paraId="28790B12" w14:textId="3FA91D79">
            <w:pPr>
              <w:pStyle w:val="TableText"/>
              <w:rPr>
                <w:sz w:val="26"/>
              </w:rPr>
            </w:pPr>
            <w:r w:rsidRPr="00FA498A">
              <w:rPr>
                <w:rFonts w:hint="cs"/>
                <w:sz w:val="26"/>
                <w:rtl/>
              </w:rPr>
              <w:t>2.</w:t>
            </w:r>
          </w:p>
        </w:tc>
        <w:tc>
          <w:tcPr>
            <w:tcW w:w="7143" w:type="dxa"/>
            <w:gridSpan w:val="5"/>
          </w:tcPr>
          <w:p w:rsidRPr="00FA498A" w:rsidR="002E41A4" w:rsidP="00FA498A" w:rsidRDefault="002E41A4" w14:paraId="46AA7C78" w14:textId="597EDDC8">
            <w:pPr>
              <w:pStyle w:val="TableBlock"/>
              <w:rPr>
                <w:sz w:val="26"/>
                <w:rtl/>
              </w:rPr>
            </w:pPr>
            <w:r w:rsidRPr="00FA498A">
              <w:rPr>
                <w:sz w:val="26"/>
                <w:rtl/>
              </w:rPr>
              <w:t xml:space="preserve">אחרי סעיף 49ט1 </w:t>
            </w:r>
            <w:r w:rsidRPr="00FA498A">
              <w:rPr>
                <w:rFonts w:hint="cs"/>
                <w:sz w:val="26"/>
                <w:rtl/>
              </w:rPr>
              <w:t xml:space="preserve">לפקודה </w:t>
            </w:r>
            <w:r w:rsidRPr="00FA498A">
              <w:rPr>
                <w:sz w:val="26"/>
                <w:rtl/>
              </w:rPr>
              <w:t>יבוא</w:t>
            </w:r>
            <w:r w:rsidRPr="00FA498A">
              <w:rPr>
                <w:rFonts w:hint="cs"/>
                <w:sz w:val="26"/>
                <w:rtl/>
              </w:rPr>
              <w:t>:</w:t>
            </w:r>
          </w:p>
        </w:tc>
      </w:tr>
      <w:tr w:rsidRPr="00FA498A" w:rsidR="000672B4" w:rsidTr="00FA498A" w14:paraId="00A363C1" w14:textId="77777777">
        <w:trPr>
          <w:cantSplit/>
        </w:trPr>
        <w:tc>
          <w:tcPr>
            <w:tcW w:w="1871" w:type="dxa"/>
          </w:tcPr>
          <w:p w:rsidRPr="00FA498A" w:rsidR="000672B4" w:rsidRDefault="000672B4" w14:paraId="39A617C8" w14:textId="77777777">
            <w:pPr>
              <w:pStyle w:val="TableSideHeading"/>
              <w:keepLines w:val="0"/>
              <w:rPr>
                <w:sz w:val="26"/>
              </w:rPr>
            </w:pPr>
          </w:p>
        </w:tc>
        <w:tc>
          <w:tcPr>
            <w:tcW w:w="624" w:type="dxa"/>
          </w:tcPr>
          <w:p w:rsidRPr="00FA498A" w:rsidR="000672B4" w:rsidRDefault="000672B4" w14:paraId="33EB2D92" w14:textId="77777777">
            <w:pPr>
              <w:pStyle w:val="TableText"/>
              <w:keepLines w:val="0"/>
              <w:rPr>
                <w:sz w:val="26"/>
              </w:rPr>
            </w:pPr>
          </w:p>
        </w:tc>
        <w:tc>
          <w:tcPr>
            <w:tcW w:w="1872" w:type="dxa"/>
            <w:gridSpan w:val="3"/>
          </w:tcPr>
          <w:p w:rsidRPr="00FA498A" w:rsidR="000672B4" w:rsidP="00690ACF" w:rsidRDefault="002E41A4" w14:paraId="604012AD" w14:textId="123287E5">
            <w:pPr>
              <w:pStyle w:val="TableInnerSideHeading"/>
              <w:rPr>
                <w:sz w:val="26"/>
              </w:rPr>
            </w:pPr>
            <w:r w:rsidRPr="00FA498A">
              <w:rPr>
                <w:rFonts w:hint="cs"/>
                <w:sz w:val="26"/>
                <w:rtl/>
              </w:rPr>
              <w:t>"</w:t>
            </w:r>
            <w:r w:rsidRPr="00FA498A" w:rsidR="000672B4">
              <w:rPr>
                <w:rFonts w:hint="cs"/>
                <w:sz w:val="26"/>
                <w:rtl/>
              </w:rPr>
              <w:t xml:space="preserve">חקירת </w:t>
            </w:r>
            <w:r w:rsidRPr="00FA498A" w:rsidR="00690ACF">
              <w:rPr>
                <w:rFonts w:hint="cs"/>
                <w:sz w:val="26"/>
                <w:rtl/>
              </w:rPr>
              <w:t>תובע</w:t>
            </w:r>
          </w:p>
        </w:tc>
        <w:tc>
          <w:tcPr>
            <w:tcW w:w="624" w:type="dxa"/>
          </w:tcPr>
          <w:p w:rsidRPr="00FA498A" w:rsidR="000672B4" w:rsidRDefault="000672B4" w14:paraId="1519727B" w14:textId="503B1923">
            <w:pPr>
              <w:pStyle w:val="TableText"/>
              <w:rPr>
                <w:sz w:val="26"/>
              </w:rPr>
            </w:pPr>
            <w:r w:rsidRPr="00FA498A">
              <w:rPr>
                <w:rFonts w:hint="cs"/>
                <w:sz w:val="26"/>
                <w:rtl/>
              </w:rPr>
              <w:t>49ט2</w:t>
            </w:r>
            <w:r w:rsidRPr="00FA498A" w:rsidR="002E41A4">
              <w:rPr>
                <w:rFonts w:hint="cs"/>
                <w:sz w:val="26"/>
                <w:rtl/>
              </w:rPr>
              <w:t>.</w:t>
            </w:r>
          </w:p>
        </w:tc>
        <w:tc>
          <w:tcPr>
            <w:tcW w:w="4647" w:type="dxa"/>
          </w:tcPr>
          <w:p w:rsidRPr="00FA498A" w:rsidR="000672B4" w:rsidP="00FA498A" w:rsidRDefault="0086254A" w14:paraId="0C49A749" w14:textId="276F303A">
            <w:pPr>
              <w:pStyle w:val="TableBlock"/>
              <w:rPr>
                <w:sz w:val="26"/>
              </w:rPr>
            </w:pPr>
            <w:r w:rsidRPr="00FA498A">
              <w:rPr>
                <w:sz w:val="26"/>
                <w:rtl/>
              </w:rPr>
              <w:t xml:space="preserve">עבירה </w:t>
            </w:r>
            <w:r w:rsidRPr="00FA498A" w:rsidR="00690ACF">
              <w:rPr>
                <w:rFonts w:hint="cs"/>
                <w:sz w:val="26"/>
                <w:rtl/>
              </w:rPr>
              <w:t>שתובע</w:t>
            </w:r>
            <w:r w:rsidRPr="00FA498A">
              <w:rPr>
                <w:sz w:val="26"/>
                <w:rtl/>
              </w:rPr>
              <w:t xml:space="preserve"> כמשמעו</w:t>
            </w:r>
            <w:r w:rsidRPr="00FA498A" w:rsidR="002E41A4">
              <w:rPr>
                <w:rFonts w:hint="cs"/>
                <w:sz w:val="26"/>
                <w:rtl/>
              </w:rPr>
              <w:t>תו בסעיף 12(א)(1)(א) ל</w:t>
            </w:r>
            <w:r w:rsidRPr="00FA498A">
              <w:rPr>
                <w:sz w:val="26"/>
                <w:rtl/>
              </w:rPr>
              <w:t xml:space="preserve">חוק </w:t>
            </w:r>
            <w:r w:rsidRPr="00FA498A" w:rsidR="00690ACF">
              <w:rPr>
                <w:rFonts w:hint="cs"/>
                <w:sz w:val="26"/>
                <w:rtl/>
              </w:rPr>
              <w:t>סדר הדין הפלילי</w:t>
            </w:r>
            <w:r w:rsidRPr="00FA498A" w:rsidR="002E41A4">
              <w:rPr>
                <w:rFonts w:hint="cs"/>
                <w:sz w:val="26"/>
                <w:rtl/>
              </w:rPr>
              <w:t xml:space="preserve"> [נוסח משולב]</w:t>
            </w:r>
            <w:r w:rsidRPr="00FA498A">
              <w:rPr>
                <w:sz w:val="26"/>
                <w:rtl/>
              </w:rPr>
              <w:t xml:space="preserve">, </w:t>
            </w:r>
            <w:r w:rsidRPr="00FA498A" w:rsidR="002E41A4">
              <w:rPr>
                <w:rFonts w:hint="cs"/>
                <w:sz w:val="26"/>
                <w:rtl/>
              </w:rPr>
              <w:t>ה</w:t>
            </w:r>
            <w:r w:rsidRPr="00FA498A">
              <w:rPr>
                <w:sz w:val="26"/>
                <w:rtl/>
              </w:rPr>
              <w:t>תש</w:t>
            </w:r>
            <w:r w:rsidRPr="00FA498A" w:rsidR="00690ACF">
              <w:rPr>
                <w:rFonts w:hint="cs"/>
                <w:sz w:val="26"/>
                <w:rtl/>
              </w:rPr>
              <w:t>מ"ב</w:t>
            </w:r>
            <w:r w:rsidRPr="00FA498A" w:rsidR="002E41A4">
              <w:rPr>
                <w:rFonts w:hint="cs"/>
                <w:sz w:val="26"/>
                <w:rtl/>
              </w:rPr>
              <w:t>–</w:t>
            </w:r>
            <w:r w:rsidRPr="00FA498A" w:rsidR="00690ACF">
              <w:rPr>
                <w:rFonts w:hint="cs"/>
                <w:sz w:val="26"/>
                <w:rtl/>
              </w:rPr>
              <w:t>1982</w:t>
            </w:r>
            <w:r w:rsidRPr="00FA498A" w:rsidR="002E41A4">
              <w:rPr>
                <w:rStyle w:val="a5"/>
                <w:rFonts w:ascii="David" w:hAnsi="David"/>
                <w:sz w:val="26"/>
                <w:rtl/>
              </w:rPr>
              <w:footnoteReference w:id="3"/>
            </w:r>
            <w:r w:rsidRPr="00FA498A">
              <w:rPr>
                <w:sz w:val="26"/>
                <w:rtl/>
              </w:rPr>
              <w:t xml:space="preserve">, חשוד בביצועה, תחקור בה המחלקה; בסעיף זה, "עבירה" – כל עבירה למעט עבירת תעבורה כהגדרתה </w:t>
            </w:r>
            <w:r w:rsidRPr="00FA498A" w:rsidR="002E41A4">
              <w:rPr>
                <w:rFonts w:hint="cs"/>
                <w:sz w:val="26"/>
                <w:rtl/>
              </w:rPr>
              <w:t>ב</w:t>
            </w:r>
            <w:r w:rsidRPr="00FA498A">
              <w:rPr>
                <w:sz w:val="26"/>
                <w:rtl/>
              </w:rPr>
              <w:t>פקודת התעבורה</w:t>
            </w:r>
            <w:r w:rsidRPr="00FA498A" w:rsidR="002E41A4">
              <w:rPr>
                <w:rFonts w:hint="cs"/>
                <w:sz w:val="26"/>
                <w:rtl/>
              </w:rPr>
              <w:t xml:space="preserve"> [נוסח חדש]</w:t>
            </w:r>
            <w:r w:rsidRPr="00FA498A" w:rsidR="002E41A4">
              <w:rPr>
                <w:rStyle w:val="a5"/>
                <w:rFonts w:ascii="David" w:hAnsi="David"/>
                <w:sz w:val="26"/>
                <w:rtl/>
              </w:rPr>
              <w:footnoteReference w:id="4"/>
            </w:r>
            <w:r w:rsidRPr="00FA498A">
              <w:rPr>
                <w:sz w:val="26"/>
                <w:rtl/>
              </w:rPr>
              <w:t>, ו</w:t>
            </w:r>
            <w:r w:rsidRPr="00FA498A" w:rsidR="002E41A4">
              <w:rPr>
                <w:rFonts w:hint="cs"/>
                <w:sz w:val="26"/>
                <w:rtl/>
              </w:rPr>
              <w:t xml:space="preserve">למעט </w:t>
            </w:r>
            <w:r w:rsidRPr="00FA498A">
              <w:rPr>
                <w:sz w:val="26"/>
                <w:rtl/>
              </w:rPr>
              <w:t xml:space="preserve">עבירה שרשות אחרת, שאינה המשטרה או שירות הביטחון הכללי, מוסמכת לחקור בה </w:t>
            </w:r>
            <w:r w:rsidRPr="00FA498A" w:rsidR="002E41A4">
              <w:rPr>
                <w:rFonts w:hint="cs"/>
                <w:sz w:val="26"/>
                <w:rtl/>
              </w:rPr>
              <w:t>לפי</w:t>
            </w:r>
            <w:r w:rsidRPr="00FA498A">
              <w:rPr>
                <w:sz w:val="26"/>
                <w:rtl/>
              </w:rPr>
              <w:t xml:space="preserve"> </w:t>
            </w:r>
            <w:r w:rsidRPr="00FA498A" w:rsidR="002E41A4">
              <w:rPr>
                <w:rFonts w:hint="cs"/>
                <w:sz w:val="26"/>
                <w:rtl/>
              </w:rPr>
              <w:t>כל</w:t>
            </w:r>
            <w:r w:rsidRPr="00FA498A">
              <w:rPr>
                <w:sz w:val="26"/>
                <w:rtl/>
              </w:rPr>
              <w:t xml:space="preserve"> דין</w:t>
            </w:r>
            <w:r w:rsidRPr="00FA498A" w:rsidR="002E41A4">
              <w:rPr>
                <w:rFonts w:hint="cs"/>
                <w:sz w:val="26"/>
                <w:rtl/>
              </w:rPr>
              <w:t>".</w:t>
            </w:r>
          </w:p>
        </w:tc>
      </w:tr>
      <w:tr w:rsidRPr="00FA498A" w:rsidR="000672B4" w:rsidTr="00FA498A" w14:paraId="259F978B" w14:textId="77777777">
        <w:trPr>
          <w:cantSplit/>
        </w:trPr>
        <w:tc>
          <w:tcPr>
            <w:tcW w:w="1871" w:type="dxa"/>
          </w:tcPr>
          <w:p w:rsidRPr="00FA498A" w:rsidR="000672B4" w:rsidP="000672B4" w:rsidRDefault="000672B4" w14:paraId="1276DFC5" w14:textId="62146C70">
            <w:pPr>
              <w:pStyle w:val="TableSideHeading"/>
              <w:rPr>
                <w:sz w:val="26"/>
              </w:rPr>
            </w:pPr>
            <w:r w:rsidRPr="00FA498A">
              <w:rPr>
                <w:rFonts w:hint="cs"/>
                <w:sz w:val="26"/>
                <w:rtl/>
              </w:rPr>
              <w:t>הוספת</w:t>
            </w:r>
            <w:r w:rsidR="00FA498A">
              <w:rPr>
                <w:sz w:val="26"/>
                <w:rtl/>
              </w:rPr>
              <w:t xml:space="preserve"> סעי</w:t>
            </w:r>
            <w:r w:rsidR="00FA498A">
              <w:rPr>
                <w:rFonts w:hint="cs"/>
                <w:sz w:val="26"/>
                <w:rtl/>
              </w:rPr>
              <w:t>פים</w:t>
            </w:r>
            <w:r w:rsidRPr="00FA498A">
              <w:rPr>
                <w:sz w:val="26"/>
                <w:rtl/>
              </w:rPr>
              <w:t xml:space="preserve"> 49י</w:t>
            </w:r>
            <w:r w:rsidRPr="00FA498A">
              <w:rPr>
                <w:rFonts w:hint="cs"/>
                <w:sz w:val="26"/>
                <w:rtl/>
              </w:rPr>
              <w:t>ב</w:t>
            </w:r>
            <w:r w:rsidRPr="00FA498A" w:rsidR="00756E51">
              <w:rPr>
                <w:rFonts w:hint="cs"/>
                <w:sz w:val="26"/>
                <w:rtl/>
              </w:rPr>
              <w:t xml:space="preserve"> ו-49יג</w:t>
            </w:r>
          </w:p>
        </w:tc>
        <w:tc>
          <w:tcPr>
            <w:tcW w:w="624" w:type="dxa"/>
          </w:tcPr>
          <w:p w:rsidRPr="00FA498A" w:rsidR="000672B4" w:rsidP="002E41A4" w:rsidRDefault="002E41A4" w14:paraId="7573439B" w14:textId="4487AA4C">
            <w:pPr>
              <w:pStyle w:val="TableText"/>
              <w:keepLines w:val="0"/>
              <w:rPr>
                <w:sz w:val="26"/>
              </w:rPr>
            </w:pPr>
            <w:r w:rsidRPr="00FA498A">
              <w:rPr>
                <w:rFonts w:hint="cs"/>
                <w:sz w:val="26"/>
                <w:rtl/>
              </w:rPr>
              <w:t>3.</w:t>
            </w:r>
          </w:p>
        </w:tc>
        <w:tc>
          <w:tcPr>
            <w:tcW w:w="7143" w:type="dxa"/>
            <w:gridSpan w:val="5"/>
          </w:tcPr>
          <w:p w:rsidRPr="00FA498A" w:rsidR="000672B4" w:rsidP="00FA498A" w:rsidRDefault="000672B4" w14:paraId="61F5969B" w14:textId="4DDCEB02">
            <w:pPr>
              <w:pStyle w:val="TableBlock"/>
              <w:rPr>
                <w:sz w:val="26"/>
              </w:rPr>
            </w:pPr>
            <w:r w:rsidRPr="00FA498A">
              <w:rPr>
                <w:rFonts w:hint="cs"/>
                <w:sz w:val="26"/>
                <w:rtl/>
              </w:rPr>
              <w:t>אחרי סעיף 49יא</w:t>
            </w:r>
            <w:r w:rsidRPr="00FA498A" w:rsidR="0086254A">
              <w:rPr>
                <w:sz w:val="26"/>
                <w:rtl/>
              </w:rPr>
              <w:t xml:space="preserve"> </w:t>
            </w:r>
            <w:r w:rsidRPr="00FA498A" w:rsidR="002E41A4">
              <w:rPr>
                <w:rFonts w:hint="cs"/>
                <w:sz w:val="26"/>
                <w:rtl/>
              </w:rPr>
              <w:t xml:space="preserve">לפקודה </w:t>
            </w:r>
            <w:r w:rsidRPr="00FA498A" w:rsidR="0086254A">
              <w:rPr>
                <w:sz w:val="26"/>
                <w:rtl/>
              </w:rPr>
              <w:t>יבוא</w:t>
            </w:r>
            <w:r w:rsidRPr="00FA498A" w:rsidR="002E41A4">
              <w:rPr>
                <w:rFonts w:hint="cs"/>
                <w:sz w:val="26"/>
                <w:rtl/>
              </w:rPr>
              <w:t>:</w:t>
            </w:r>
          </w:p>
        </w:tc>
      </w:tr>
      <w:tr w:rsidRPr="00FA498A" w:rsidR="00756E51" w:rsidTr="00FA498A" w14:paraId="3B63827F" w14:textId="77777777">
        <w:trPr>
          <w:cantSplit/>
        </w:trPr>
        <w:tc>
          <w:tcPr>
            <w:tcW w:w="1871" w:type="dxa"/>
          </w:tcPr>
          <w:p w:rsidRPr="00FA498A" w:rsidR="00756E51" w:rsidRDefault="00756E51" w14:paraId="62DB80EF" w14:textId="77777777">
            <w:pPr>
              <w:pStyle w:val="TableSideHeading"/>
              <w:keepLines w:val="0"/>
              <w:rPr>
                <w:sz w:val="26"/>
              </w:rPr>
            </w:pPr>
          </w:p>
        </w:tc>
        <w:tc>
          <w:tcPr>
            <w:tcW w:w="624" w:type="dxa"/>
          </w:tcPr>
          <w:p w:rsidRPr="00FA498A" w:rsidR="00756E51" w:rsidRDefault="00756E51" w14:paraId="19EE4065" w14:textId="77777777">
            <w:pPr>
              <w:pStyle w:val="TableText"/>
              <w:keepLines w:val="0"/>
              <w:rPr>
                <w:sz w:val="26"/>
              </w:rPr>
            </w:pPr>
          </w:p>
        </w:tc>
        <w:tc>
          <w:tcPr>
            <w:tcW w:w="1872" w:type="dxa"/>
            <w:gridSpan w:val="3"/>
          </w:tcPr>
          <w:p w:rsidRPr="00FA498A" w:rsidR="00756E51" w:rsidRDefault="00756E51" w14:paraId="642927EC" w14:textId="39A1C0C3">
            <w:pPr>
              <w:pStyle w:val="TableInnerSideHeading"/>
              <w:rPr>
                <w:sz w:val="26"/>
              </w:rPr>
            </w:pPr>
            <w:r w:rsidRPr="00FA498A">
              <w:rPr>
                <w:rFonts w:hint="cs"/>
                <w:sz w:val="26"/>
                <w:rtl/>
              </w:rPr>
              <w:t>"מנהל המחלקה</w:t>
            </w:r>
          </w:p>
        </w:tc>
        <w:tc>
          <w:tcPr>
            <w:tcW w:w="624" w:type="dxa"/>
          </w:tcPr>
          <w:p w:rsidRPr="00FA498A" w:rsidR="00756E51" w:rsidRDefault="00756E51" w14:paraId="19ED82A5" w14:textId="3F69C5AB">
            <w:pPr>
              <w:pStyle w:val="TableText"/>
              <w:rPr>
                <w:sz w:val="26"/>
              </w:rPr>
            </w:pPr>
            <w:r w:rsidRPr="00FA498A">
              <w:rPr>
                <w:rFonts w:hint="cs"/>
                <w:sz w:val="26"/>
                <w:rtl/>
              </w:rPr>
              <w:t>49יב.</w:t>
            </w:r>
          </w:p>
        </w:tc>
        <w:tc>
          <w:tcPr>
            <w:tcW w:w="4647" w:type="dxa"/>
          </w:tcPr>
          <w:p w:rsidRPr="00FA498A" w:rsidR="00756E51" w:rsidP="00FA498A" w:rsidRDefault="00756E51" w14:paraId="47B9BBB9" w14:textId="2BB4D9FE">
            <w:pPr>
              <w:pStyle w:val="TableBlock"/>
              <w:rPr>
                <w:sz w:val="26"/>
              </w:rPr>
            </w:pPr>
            <w:r w:rsidRPr="00FA498A">
              <w:rPr>
                <w:rFonts w:hint="cs"/>
                <w:sz w:val="26"/>
                <w:rtl/>
              </w:rPr>
              <w:t>(א)</w:t>
            </w:r>
            <w:r w:rsidRPr="00FA498A">
              <w:rPr>
                <w:sz w:val="26"/>
                <w:rtl/>
              </w:rPr>
              <w:tab/>
            </w:r>
            <w:r w:rsidRPr="00FA498A">
              <w:rPr>
                <w:rFonts w:hint="cs"/>
                <w:sz w:val="26"/>
                <w:rtl/>
              </w:rPr>
              <w:t>מנהל המחלקה יתמנה על ידי שר המשפטים.</w:t>
            </w:r>
          </w:p>
        </w:tc>
      </w:tr>
      <w:tr w:rsidRPr="00FA498A" w:rsidR="00756E51" w:rsidTr="00FA498A" w14:paraId="01719BF0" w14:textId="77777777">
        <w:trPr>
          <w:cantSplit/>
        </w:trPr>
        <w:tc>
          <w:tcPr>
            <w:tcW w:w="1871" w:type="dxa"/>
          </w:tcPr>
          <w:p w:rsidRPr="00FA498A" w:rsidR="00756E51" w:rsidRDefault="00756E51" w14:paraId="541BAC74" w14:textId="77777777">
            <w:pPr>
              <w:pStyle w:val="TableSideHeading"/>
              <w:rPr>
                <w:sz w:val="26"/>
              </w:rPr>
            </w:pPr>
          </w:p>
        </w:tc>
        <w:tc>
          <w:tcPr>
            <w:tcW w:w="624" w:type="dxa"/>
          </w:tcPr>
          <w:p w:rsidRPr="00FA498A" w:rsidR="00756E51" w:rsidRDefault="00756E51" w14:paraId="44B3CD69" w14:textId="77777777">
            <w:pPr>
              <w:pStyle w:val="TableText"/>
              <w:rPr>
                <w:sz w:val="26"/>
              </w:rPr>
            </w:pPr>
          </w:p>
        </w:tc>
        <w:tc>
          <w:tcPr>
            <w:tcW w:w="624" w:type="dxa"/>
          </w:tcPr>
          <w:p w:rsidRPr="00FA498A" w:rsidR="00756E51" w:rsidRDefault="00756E51" w14:paraId="40DC04DE" w14:textId="77777777">
            <w:pPr>
              <w:pStyle w:val="TableText"/>
              <w:rPr>
                <w:sz w:val="26"/>
              </w:rPr>
            </w:pPr>
          </w:p>
        </w:tc>
        <w:tc>
          <w:tcPr>
            <w:tcW w:w="624" w:type="dxa"/>
          </w:tcPr>
          <w:p w:rsidRPr="00FA498A" w:rsidR="00756E51" w:rsidRDefault="00756E51" w14:paraId="53B39CAD" w14:textId="77777777">
            <w:pPr>
              <w:pStyle w:val="TableText"/>
              <w:rPr>
                <w:sz w:val="26"/>
              </w:rPr>
            </w:pPr>
          </w:p>
        </w:tc>
        <w:tc>
          <w:tcPr>
            <w:tcW w:w="624" w:type="dxa"/>
          </w:tcPr>
          <w:p w:rsidRPr="00FA498A" w:rsidR="00756E51" w:rsidRDefault="00756E51" w14:paraId="2C8E857F" w14:textId="77777777">
            <w:pPr>
              <w:pStyle w:val="TableText"/>
              <w:rPr>
                <w:sz w:val="26"/>
              </w:rPr>
            </w:pPr>
          </w:p>
        </w:tc>
        <w:tc>
          <w:tcPr>
            <w:tcW w:w="624" w:type="dxa"/>
          </w:tcPr>
          <w:p w:rsidRPr="00FA498A" w:rsidR="00756E51" w:rsidRDefault="00756E51" w14:paraId="72A41B25" w14:textId="77777777">
            <w:pPr>
              <w:pStyle w:val="TableText"/>
              <w:rPr>
                <w:sz w:val="26"/>
              </w:rPr>
            </w:pPr>
          </w:p>
        </w:tc>
        <w:tc>
          <w:tcPr>
            <w:tcW w:w="4647" w:type="dxa"/>
          </w:tcPr>
          <w:p w:rsidRPr="00FA498A" w:rsidR="00756E51" w:rsidP="00FA498A" w:rsidRDefault="00756E51" w14:paraId="1CB25B9F" w14:textId="6D4E86C4">
            <w:pPr>
              <w:pStyle w:val="TableBlock"/>
              <w:rPr>
                <w:sz w:val="26"/>
              </w:rPr>
            </w:pPr>
            <w:r w:rsidRPr="00FA498A">
              <w:rPr>
                <w:rFonts w:hint="cs"/>
                <w:sz w:val="26"/>
                <w:rtl/>
              </w:rPr>
              <w:t>(ב)</w:t>
            </w:r>
            <w:r w:rsidRPr="00FA498A">
              <w:rPr>
                <w:sz w:val="26"/>
                <w:rtl/>
              </w:rPr>
              <w:tab/>
            </w:r>
            <w:r w:rsidRPr="00FA498A">
              <w:rPr>
                <w:rFonts w:hint="cs"/>
                <w:sz w:val="26"/>
                <w:rtl/>
              </w:rPr>
              <w:t>כשיר לכהן כמנהל המחלקה מי שכשיר לכהן כשופט של בית המשפט העליון.</w:t>
            </w:r>
          </w:p>
        </w:tc>
      </w:tr>
      <w:tr w:rsidRPr="00FA498A" w:rsidR="00756E51" w:rsidTr="00FA498A" w14:paraId="424A85E4" w14:textId="77777777">
        <w:trPr>
          <w:cantSplit/>
        </w:trPr>
        <w:tc>
          <w:tcPr>
            <w:tcW w:w="1871" w:type="dxa"/>
          </w:tcPr>
          <w:p w:rsidRPr="00FA498A" w:rsidR="00756E51" w:rsidRDefault="00756E51" w14:paraId="355DF9DB" w14:textId="77777777">
            <w:pPr>
              <w:pStyle w:val="TableSideHeading"/>
              <w:keepLines w:val="0"/>
              <w:rPr>
                <w:sz w:val="26"/>
              </w:rPr>
            </w:pPr>
          </w:p>
        </w:tc>
        <w:tc>
          <w:tcPr>
            <w:tcW w:w="624" w:type="dxa"/>
          </w:tcPr>
          <w:p w:rsidRPr="00FA498A" w:rsidR="00756E51" w:rsidRDefault="00756E51" w14:paraId="714708A5" w14:textId="77777777">
            <w:pPr>
              <w:pStyle w:val="TableText"/>
              <w:keepLines w:val="0"/>
              <w:rPr>
                <w:sz w:val="26"/>
              </w:rPr>
            </w:pPr>
          </w:p>
        </w:tc>
        <w:tc>
          <w:tcPr>
            <w:tcW w:w="1872" w:type="dxa"/>
            <w:gridSpan w:val="3"/>
          </w:tcPr>
          <w:p w:rsidRPr="00FA498A" w:rsidR="00756E51" w:rsidRDefault="00756E51" w14:paraId="4D2383B9" w14:textId="02943302">
            <w:pPr>
              <w:pStyle w:val="TableInnerSideHeading"/>
              <w:rPr>
                <w:sz w:val="26"/>
              </w:rPr>
            </w:pPr>
            <w:r w:rsidRPr="00FA498A">
              <w:rPr>
                <w:rFonts w:hint="cs"/>
                <w:sz w:val="26"/>
                <w:rtl/>
              </w:rPr>
              <w:t>כפיפות המחלקה</w:t>
            </w:r>
          </w:p>
        </w:tc>
        <w:tc>
          <w:tcPr>
            <w:tcW w:w="624" w:type="dxa"/>
          </w:tcPr>
          <w:p w:rsidRPr="00FA498A" w:rsidR="00756E51" w:rsidRDefault="00756E51" w14:paraId="66812BB1" w14:textId="7DAA7DA2">
            <w:pPr>
              <w:pStyle w:val="TableText"/>
              <w:rPr>
                <w:sz w:val="26"/>
              </w:rPr>
            </w:pPr>
            <w:r w:rsidRPr="00FA498A">
              <w:rPr>
                <w:rFonts w:hint="cs"/>
                <w:sz w:val="26"/>
                <w:rtl/>
              </w:rPr>
              <w:t>49יג.</w:t>
            </w:r>
          </w:p>
        </w:tc>
        <w:tc>
          <w:tcPr>
            <w:tcW w:w="4647" w:type="dxa"/>
          </w:tcPr>
          <w:p w:rsidRPr="00FA498A" w:rsidR="00756E51" w:rsidP="00FA498A" w:rsidRDefault="00756E51" w14:paraId="04761D31" w14:textId="32F3473D">
            <w:pPr>
              <w:pStyle w:val="TableBlock"/>
              <w:rPr>
                <w:sz w:val="26"/>
              </w:rPr>
            </w:pPr>
            <w:r w:rsidRPr="00FA498A">
              <w:rPr>
                <w:rFonts w:hint="cs"/>
                <w:sz w:val="26"/>
                <w:rtl/>
              </w:rPr>
              <w:t>המחלקה נושאת באחריות מינהלית למילוי תפקידה בפני שר המשפטים, והיא נתונה לפיקוחו המינהלי של המנהל הכללי של משרד המשפטים".</w:t>
            </w:r>
          </w:p>
        </w:tc>
      </w:tr>
    </w:tbl>
    <w:p w:rsidR="00FA498A" w:rsidP="002D1EE3" w:rsidRDefault="00FA498A" w14:paraId="1F752E9B" w14:textId="77777777">
      <w:pPr>
        <w:pStyle w:val="HeadDivreiHesber"/>
        <w:rPr>
          <w:rtl/>
        </w:rPr>
      </w:pPr>
      <w:r>
        <w:rPr>
          <w:rtl/>
        </w:rPr>
        <w:br w:type="page"/>
      </w:r>
    </w:p>
    <w:p w:rsidR="002D1EE3" w:rsidP="002D1EE3" w:rsidRDefault="002D1EE3" w14:paraId="7F6961CA" w14:textId="095BBD2D">
      <w:pPr>
        <w:pStyle w:val="HeadDivreiHesber"/>
        <w:rPr>
          <w:rtl/>
        </w:rPr>
      </w:pPr>
      <w:r w:rsidRPr="0027450A">
        <w:rPr>
          <w:rFonts w:hint="cs"/>
          <w:rtl/>
        </w:rPr>
        <w:lastRenderedPageBreak/>
        <w:t>דברי הסבר</w:t>
      </w:r>
    </w:p>
    <w:p w:rsidR="00AC6DB2" w:rsidP="00756E51" w:rsidRDefault="00AC6DB2" w14:paraId="5E13AA1E" w14:textId="199E8F43">
      <w:pPr>
        <w:pStyle w:val="Hesber"/>
      </w:pPr>
      <w:r>
        <w:rPr>
          <w:rtl/>
        </w:rPr>
        <w:t xml:space="preserve">המחלקה לחקירת שוטרים </w:t>
      </w:r>
      <w:r w:rsidR="00756E51">
        <w:rPr>
          <w:rFonts w:hint="cs"/>
          <w:rtl/>
        </w:rPr>
        <w:t xml:space="preserve">(להלן </w:t>
      </w:r>
      <w:r w:rsidR="00756E51">
        <w:rPr>
          <w:rtl/>
        </w:rPr>
        <w:t>–</w:t>
      </w:r>
      <w:r w:rsidR="00756E51">
        <w:rPr>
          <w:rFonts w:hint="cs"/>
          <w:rtl/>
        </w:rPr>
        <w:t xml:space="preserve"> מח"ש) </w:t>
      </w:r>
      <w:r>
        <w:rPr>
          <w:rtl/>
        </w:rPr>
        <w:t xml:space="preserve">הוקמה במשרד המשפטים לחקירת עבירות שנעשו על ידי אנשי משטרה, וזאת במטרה למנוע ניגוד עניינים של חקירת חשודים על ידי הגופים להם הם משתייכים. בהמשך הורחבה סמכותם גם </w:t>
      </w:r>
      <w:r w:rsidR="00756E51">
        <w:rPr>
          <w:rFonts w:hint="cs"/>
          <w:rtl/>
        </w:rPr>
        <w:t>ביחס לעובדי שירות הביטחון הכללי</w:t>
      </w:r>
      <w:r>
        <w:rPr>
          <w:rtl/>
        </w:rPr>
        <w:t xml:space="preserve">, ובנוסף ניתנה למחלקה הסמכה מיוחדת לחקירות פליליות ומשמעתיות של </w:t>
      </w:r>
      <w:r w:rsidR="00756E51">
        <w:rPr>
          <w:rFonts w:hint="cs"/>
          <w:rtl/>
        </w:rPr>
        <w:t>עובדי</w:t>
      </w:r>
      <w:r>
        <w:rPr>
          <w:rtl/>
        </w:rPr>
        <w:t xml:space="preserve"> נציבות שירות המדינה.</w:t>
      </w:r>
    </w:p>
    <w:p w:rsidR="00AC6DB2" w:rsidP="003D0689" w:rsidRDefault="00AC6DB2" w14:paraId="3B8415D1" w14:textId="05FBA7A3">
      <w:pPr>
        <w:pStyle w:val="Hesber"/>
        <w:rPr>
          <w:rtl/>
        </w:rPr>
      </w:pPr>
      <w:r>
        <w:rPr>
          <w:rtl/>
        </w:rPr>
        <w:t>המשטרה והפרקליטות פועלות לקידום תיקים פליליים בשיתוף פעולה מלא, ביחסי עבודה הדוקים ולצורך מימוש אינטרסים משותפים, למשטרה ולפרקליטות גם יחד</w:t>
      </w:r>
      <w:r w:rsidR="003D0689">
        <w:rPr>
          <w:rFonts w:hint="cs"/>
          <w:rtl/>
        </w:rPr>
        <w:t>.</w:t>
      </w:r>
      <w:r>
        <w:rPr>
          <w:rtl/>
        </w:rPr>
        <w:t xml:space="preserve"> העבודה הקרובה והמשותפת של אנשי המשטרה והפרקליטות יוצרת ניגוד עניינים חריף,</w:t>
      </w:r>
      <w:r w:rsidR="003D0689">
        <w:rPr>
          <w:rFonts w:hint="cs"/>
          <w:rtl/>
        </w:rPr>
        <w:t xml:space="preserve"> הן מצד האינטרסים המקצועיים המשותפים והן מצד יחסי העבודה הקרובים,</w:t>
      </w:r>
      <w:r>
        <w:rPr>
          <w:rtl/>
        </w:rPr>
        <w:t xml:space="preserve"> כאשר החלטות בעניין פתיחת חקירה, פיקוח על החקירה במח"ש, והגשת כתב אישום נגד קצין משטרה בכיר נתונות לפרקליט המדינה. כל עוד מח"ש היא חלק אורגני מהפרקליטות, לא ניתן לצפות לחקירה חסרת פניות כאשר מדובר בבכירים במשטרה, שעימם יש קשרי עבודה הדוקים. </w:t>
      </w:r>
    </w:p>
    <w:p w:rsidR="00AC6DB2" w:rsidP="00AC6DB2" w:rsidRDefault="00AC6DB2" w14:paraId="5545BBD4" w14:textId="00AED096">
      <w:pPr>
        <w:pStyle w:val="Hesber"/>
        <w:rPr>
          <w:rtl/>
        </w:rPr>
      </w:pPr>
      <w:r>
        <w:rPr>
          <w:rtl/>
        </w:rPr>
        <w:t>מן הצד השני, גם כאשר מדובר בחקירת חשדות נגד אנשי הפרקליטות, מי שמוסמך כיום לעסוק בכך זו המשטרה, וניגוד העניינים החמור</w:t>
      </w:r>
      <w:r w:rsidR="003D0689">
        <w:rPr>
          <w:rFonts w:hint="cs"/>
          <w:rtl/>
        </w:rPr>
        <w:t xml:space="preserve"> שהוזכר לעיל,</w:t>
      </w:r>
      <w:r>
        <w:rPr>
          <w:rtl/>
        </w:rPr>
        <w:t xml:space="preserve"> עומד בעינו.</w:t>
      </w:r>
    </w:p>
    <w:p w:rsidR="00AC6DB2" w:rsidP="00756E51" w:rsidRDefault="00AC6DB2" w14:paraId="6F43AA1A" w14:textId="589E96AD">
      <w:pPr>
        <w:pStyle w:val="Hesber"/>
        <w:rPr>
          <w:rtl/>
        </w:rPr>
      </w:pPr>
      <w:r>
        <w:rPr>
          <w:rtl/>
        </w:rPr>
        <w:t>לפיכך</w:t>
      </w:r>
      <w:r w:rsidR="00756E51">
        <w:rPr>
          <w:rFonts w:hint="cs"/>
          <w:rtl/>
        </w:rPr>
        <w:t>,</w:t>
      </w:r>
      <w:r>
        <w:rPr>
          <w:rtl/>
        </w:rPr>
        <w:t xml:space="preserve"> הצעת החוק מבקשת להעביר את האחריות לחקירת חשדות הנוגע</w:t>
      </w:r>
      <w:r w:rsidR="00756E51">
        <w:rPr>
          <w:rFonts w:hint="cs"/>
          <w:rtl/>
        </w:rPr>
        <w:t>ים</w:t>
      </w:r>
      <w:r>
        <w:rPr>
          <w:rtl/>
        </w:rPr>
        <w:t xml:space="preserve"> לאנשי הפ</w:t>
      </w:r>
      <w:r w:rsidR="00756E51">
        <w:rPr>
          <w:rtl/>
        </w:rPr>
        <w:t>רקליטות, למחלקה לחקיר</w:t>
      </w:r>
      <w:r>
        <w:rPr>
          <w:rtl/>
        </w:rPr>
        <w:t>ת שוטרים, שהיא מחלקה נפרדת ועצמאית, ולהשלמת העניין, לנתק את המחלקה לחקירות שוטרים מהפרקליטות, ולהכפיפה ישירות לשר המשפטים ולמנכ"ל</w:t>
      </w:r>
      <w:r w:rsidR="00FA498A">
        <w:rPr>
          <w:rtl/>
        </w:rPr>
        <w:t xml:space="preserve"> המשרד, לרבות מינוי ראש המחלקה.</w:t>
      </w:r>
    </w:p>
    <w:p w:rsidR="00FA498A" w:rsidP="00756E51" w:rsidRDefault="00FA498A" w14:paraId="57074F53" w14:textId="77777777">
      <w:pPr>
        <w:pStyle w:val="Hesber"/>
        <w:rPr>
          <w:rtl/>
        </w:rPr>
      </w:pPr>
    </w:p>
    <w:p w:rsidR="00FA498A" w:rsidP="00756E51" w:rsidRDefault="00FA498A" w14:paraId="4E7B133F" w14:textId="77777777">
      <w:pPr>
        <w:pStyle w:val="Hesber"/>
        <w:rPr>
          <w:rtl/>
        </w:rPr>
      </w:pPr>
      <w:bookmarkStart w:name="_GoBack" w:id="8"/>
      <w:bookmarkEnd w:id="8"/>
    </w:p>
    <w:p w:rsidRPr="00AC6DB2" w:rsidR="00E13C27" w:rsidP="00AC6DB2" w:rsidRDefault="00E13C27" w14:paraId="7F6961CB" w14:textId="7B8C580C">
      <w:pPr>
        <w:pStyle w:val="Hesber"/>
        <w:rPr>
          <w:rtl/>
        </w:rPr>
      </w:pPr>
    </w:p>
    <w:p>
      <w:pPr>
        <w:jc w:val="left"/>
        <w:spacing w:before="0" w:after="0" w:line="276" w:lineRule="auto"/>
      </w:pPr>
      <w:bookmarkStart w:name="selectedDocDateB" w:id="9"/>
      <w:bookmarkEnd w:id="9"/>
      <w:r/>
      <w:p>
        <w:pPr>
          <w:jc w:val="left"/>
          <w:spacing w:before="0" w:after="0" w:line="360" w:lineRule="auto"/>
        </w:pPr>
        <w:r>
          <w:rPr>
            <w:rtl/>
            <w:rFonts w:hint="cs" w:ascii="David" w:hAnsi="David" w:eastAsia="David" w:cs="David"/>
            <w:sz w:val="26"/>
            <w:szCs w:val="26"/>
          </w:rPr>
          <w:t>--------------------------------</w:t>
        </w:r>
      </w:p>
      <w:p>
        <w:pPr>
          <w:jc w:val="left"/>
          <w:spacing w:before="0" w:after="0" w:line="360" w:lineRule="auto"/>
        </w:pPr>
        <w:r>
          <w:rPr>
            <w:rtl/>
            <w:rFonts w:hint="cs" w:ascii="David" w:hAnsi="David" w:eastAsia="David" w:cs="David"/>
            <w:sz w:val="26"/>
            <w:szCs w:val="26"/>
          </w:rPr>
          <w:t>הוגשה ליו"ר הכנסת והסגנים</w:t>
        </w:r>
      </w:p>
      <w:p>
        <w:pPr>
          <w:jc w:val="left"/>
          <w:spacing w:before="0" w:after="0" w:line="360" w:lineRule="auto"/>
        </w:pPr>
        <w:r>
          <w:rPr>
            <w:rtl/>
            <w:rFonts w:hint="cs" w:ascii="David" w:hAnsi="David" w:eastAsia="David" w:cs="David"/>
            <w:sz w:val="26"/>
            <w:szCs w:val="26"/>
          </w:rPr>
          <w:t>והונחה על שולחן הכנסת ביום</w:t>
        </w:r>
      </w:p>
      <w:p>
        <w:pPr>
          <w:jc w:val="left"/>
          <w:spacing w:before="0" w:after="0" w:line="360" w:lineRule="auto"/>
        </w:pPr>
        <w:r>
          <w:rPr>
            <w:rtl/>
            <w:rFonts w:hint="cs" w:ascii="David" w:hAnsi="David" w:eastAsia="David" w:cs="David"/>
            <w:sz w:val="26"/>
            <w:szCs w:val="26"/>
          </w:rPr>
          <w:t xml:space="preserve">כ"ה בכסלו התשפ"ג</w:t>
          <w:t xml:space="preserve"> (19.12.2022) </w:t>
        </w:r>
      </w:p>
    </w:p>
    <w:sectPr w:rsidRPr="00AC6DB2" w:rsidR="00E13C27" w:rsidSect="00FA498A">
      <w:footerReference w:type="even" r:id="rId11"/>
      <w:footerReference w:type="default" r:id="rId12"/>
      <w:pgSz w:w="11907" w:h="16840" w:code="9"/>
      <w:pgMar w:top="1701" w:right="1134" w:bottom="1417" w:left="1134" w:header="680" w:footer="680" w:gutter="0"/>
      <w:cols w:space="720"/>
      <w:noEndnote/>
      <w:titlePg/>
      <w:bidi/>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085D6999"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FA498A">
      <w:rPr>
        <w:rStyle w:val="aa"/>
        <w:noProof/>
        <w:rtl/>
      </w:rPr>
      <w:t>2</w:t>
    </w:r>
    <w:r>
      <w:rPr>
        <w:rStyle w:val="aa"/>
        <w:rtl/>
      </w:rPr>
      <w:fldChar w:fldCharType="end"/>
    </w:r>
  </w:p>
  <w:p w14:paraId="7F6961D8" w14:textId="77777777" w:rsidR="002C3041" w:rsidRDefault="002C30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sidP="00FA498A">
      <w:pPr>
        <w:ind w:left="0"/>
      </w:pPr>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76FDF33F" w14:textId="77777777" w:rsidR="002E41A4" w:rsidRDefault="002E41A4" w:rsidP="002E41A4">
      <w:pPr>
        <w:pStyle w:val="a4"/>
      </w:pPr>
      <w:r>
        <w:rPr>
          <w:rStyle w:val="a5"/>
        </w:rPr>
        <w:footnoteRef/>
      </w:r>
      <w:r>
        <w:rPr>
          <w:rtl/>
        </w:rPr>
        <w:t xml:space="preserve"> </w:t>
      </w:r>
      <w:r>
        <w:rPr>
          <w:rFonts w:hint="cs"/>
          <w:rtl/>
        </w:rPr>
        <w:t>דיני מדינת ישראל, נוסח חדש 17, עמ' 390.</w:t>
      </w:r>
    </w:p>
  </w:footnote>
  <w:footnote w:id="3">
    <w:p w14:paraId="7E7B2C2C" w14:textId="0F9C8D6B" w:rsidR="002E41A4" w:rsidRDefault="002E41A4">
      <w:pPr>
        <w:pStyle w:val="a4"/>
      </w:pPr>
      <w:r>
        <w:rPr>
          <w:rStyle w:val="a5"/>
        </w:rPr>
        <w:footnoteRef/>
      </w:r>
      <w:r>
        <w:rPr>
          <w:rtl/>
        </w:rPr>
        <w:t xml:space="preserve"> </w:t>
      </w:r>
      <w:r>
        <w:rPr>
          <w:rFonts w:hint="cs"/>
          <w:rtl/>
        </w:rPr>
        <w:t>ס"ח התשמ"ב, עמ' 43.</w:t>
      </w:r>
    </w:p>
  </w:footnote>
  <w:footnote w:id="4">
    <w:p w14:paraId="5D6F0E09" w14:textId="6DA67F51" w:rsidR="002E41A4" w:rsidRDefault="002E41A4">
      <w:pPr>
        <w:pStyle w:val="a4"/>
        <w:rPr>
          <w:rtl/>
        </w:rPr>
      </w:pPr>
      <w:r>
        <w:rPr>
          <w:rStyle w:val="a5"/>
        </w:rPr>
        <w:footnoteRef/>
      </w:r>
      <w:r>
        <w:rPr>
          <w:rtl/>
        </w:rPr>
        <w:t xml:space="preserve"> </w:t>
      </w:r>
      <w:r>
        <w:rPr>
          <w:rFonts w:hint="cs"/>
          <w:rtl/>
        </w:rPr>
        <w:t>דיני מדינת ישראל, נוסח חדש 7, עמ' 173.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49435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A2E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E00D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D24B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1685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CA2E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EA33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8CFF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38A5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B852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E1EF8"/>
    <w:multiLevelType w:val="hybridMultilevel"/>
    <w:tmpl w:val="AE72D55E"/>
    <w:lvl w:ilvl="0" w:tplc="EF8EB3E6">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9A4345"/>
    <w:multiLevelType w:val="hybridMultilevel"/>
    <w:tmpl w:val="F6CC8A22"/>
    <w:lvl w:ilvl="0" w:tplc="71BE05AC">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972A86"/>
    <w:multiLevelType w:val="hybridMultilevel"/>
    <w:tmpl w:val="0D5028AE"/>
    <w:lvl w:ilvl="0" w:tplc="FB92B18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3"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197BA6"/>
    <w:multiLevelType w:val="hybridMultilevel"/>
    <w:tmpl w:val="D020E930"/>
    <w:lvl w:ilvl="0" w:tplc="84F41E5E">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6B3234"/>
    <w:multiLevelType w:val="hybridMultilevel"/>
    <w:tmpl w:val="60227E66"/>
    <w:lvl w:ilvl="0" w:tplc="3080291C">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5A2B35"/>
    <w:multiLevelType w:val="hybridMultilevel"/>
    <w:tmpl w:val="F61ADD04"/>
    <w:lvl w:ilvl="0" w:tplc="EFC26F30">
      <w:start w:val="1"/>
      <w:numFmt w:val="hebrew1"/>
      <w:pStyle w:val="4"/>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B3B28B0"/>
    <w:multiLevelType w:val="hybridMultilevel"/>
    <w:tmpl w:val="41ACEA96"/>
    <w:lvl w:ilvl="0" w:tplc="06A8C010">
      <w:start w:val="1"/>
      <w:numFmt w:val="decimal"/>
      <w:pStyle w:val="TOC3"/>
      <w:lvlText w:val="%1."/>
      <w:lvlJc w:val="left"/>
      <w:pPr>
        <w:ind w:left="1287" w:hanging="360"/>
      </w:pPr>
      <w:rPr>
        <w:rFonts w:cs="David" w:hint="default"/>
        <w:bCs w:val="0"/>
        <w:iCs w:val="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753C544D"/>
    <w:multiLevelType w:val="hybridMultilevel"/>
    <w:tmpl w:val="C7443990"/>
    <w:lvl w:ilvl="0" w:tplc="0409000F">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A1665B"/>
    <w:multiLevelType w:val="hybridMultilevel"/>
    <w:tmpl w:val="DB248542"/>
    <w:lvl w:ilvl="0" w:tplc="A5204412">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9"/>
  </w:num>
  <w:num w:numId="13">
    <w:abstractNumId w:val="13"/>
  </w:num>
  <w:num w:numId="14">
    <w:abstractNumId w:val="20"/>
  </w:num>
  <w:num w:numId="15">
    <w:abstractNumId w:val="11"/>
  </w:num>
  <w:num w:numId="16">
    <w:abstractNumId w:val="10"/>
  </w:num>
  <w:num w:numId="17">
    <w:abstractNumId w:val="15"/>
  </w:num>
  <w:num w:numId="18">
    <w:abstractNumId w:val="16"/>
  </w:num>
  <w:num w:numId="19">
    <w:abstractNumId w:val="21"/>
  </w:num>
  <w:num w:numId="20">
    <w:abstractNumId w:val="17"/>
  </w:num>
  <w:num w:numId="21">
    <w:abstractNumId w:val="17"/>
    <w:lvlOverride w:ilvl="0">
      <w:startOverride w:val="1"/>
    </w:lvlOverride>
  </w:num>
  <w:num w:numId="22">
    <w:abstractNumId w:val="1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672B4"/>
    <w:rsid w:val="00072CAC"/>
    <w:rsid w:val="0007681A"/>
    <w:rsid w:val="000A542E"/>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1F5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E41A4"/>
    <w:rsid w:val="002F1D80"/>
    <w:rsid w:val="003232A2"/>
    <w:rsid w:val="00325C14"/>
    <w:rsid w:val="0034441E"/>
    <w:rsid w:val="0036422C"/>
    <w:rsid w:val="003710F6"/>
    <w:rsid w:val="00386E88"/>
    <w:rsid w:val="00396585"/>
    <w:rsid w:val="003D0689"/>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B064E"/>
    <w:rsid w:val="005D51AE"/>
    <w:rsid w:val="0062674B"/>
    <w:rsid w:val="006363B2"/>
    <w:rsid w:val="00644940"/>
    <w:rsid w:val="006818A9"/>
    <w:rsid w:val="00690ACF"/>
    <w:rsid w:val="006A2D81"/>
    <w:rsid w:val="006C1D0D"/>
    <w:rsid w:val="0070601E"/>
    <w:rsid w:val="00712C72"/>
    <w:rsid w:val="00735FE9"/>
    <w:rsid w:val="00756E51"/>
    <w:rsid w:val="00763CAA"/>
    <w:rsid w:val="00765F66"/>
    <w:rsid w:val="007714A8"/>
    <w:rsid w:val="0078664F"/>
    <w:rsid w:val="007903FE"/>
    <w:rsid w:val="007A27CE"/>
    <w:rsid w:val="007C3FA6"/>
    <w:rsid w:val="007D585A"/>
    <w:rsid w:val="007D5A12"/>
    <w:rsid w:val="007E59F9"/>
    <w:rsid w:val="00810BCD"/>
    <w:rsid w:val="00812C98"/>
    <w:rsid w:val="00814D92"/>
    <w:rsid w:val="0083181D"/>
    <w:rsid w:val="00843EB2"/>
    <w:rsid w:val="0086254A"/>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A2F03"/>
    <w:rsid w:val="00AC36F7"/>
    <w:rsid w:val="00AC63A4"/>
    <w:rsid w:val="00AC6DB2"/>
    <w:rsid w:val="00AD239E"/>
    <w:rsid w:val="00B10265"/>
    <w:rsid w:val="00B16A99"/>
    <w:rsid w:val="00B21211"/>
    <w:rsid w:val="00B35784"/>
    <w:rsid w:val="00B733A7"/>
    <w:rsid w:val="00B75C91"/>
    <w:rsid w:val="00B975AD"/>
    <w:rsid w:val="00BC45FB"/>
    <w:rsid w:val="00BF148D"/>
    <w:rsid w:val="00C23B1A"/>
    <w:rsid w:val="00C310EB"/>
    <w:rsid w:val="00C9176A"/>
    <w:rsid w:val="00CF1AA2"/>
    <w:rsid w:val="00D142D3"/>
    <w:rsid w:val="00D17774"/>
    <w:rsid w:val="00D63620"/>
    <w:rsid w:val="00D8410D"/>
    <w:rsid w:val="00D867D7"/>
    <w:rsid w:val="00DB7060"/>
    <w:rsid w:val="00DE3153"/>
    <w:rsid w:val="00E06736"/>
    <w:rsid w:val="00E13C27"/>
    <w:rsid w:val="00E33BBD"/>
    <w:rsid w:val="00E374F2"/>
    <w:rsid w:val="00E45103"/>
    <w:rsid w:val="00E55A60"/>
    <w:rsid w:val="00E62778"/>
    <w:rsid w:val="00E635A2"/>
    <w:rsid w:val="00E63D38"/>
    <w:rsid w:val="00E665B9"/>
    <w:rsid w:val="00EA01E6"/>
    <w:rsid w:val="00EA3DE8"/>
    <w:rsid w:val="00EA758F"/>
    <w:rsid w:val="00ED4A6F"/>
    <w:rsid w:val="00EF3A3A"/>
    <w:rsid w:val="00F628D6"/>
    <w:rsid w:val="00F67051"/>
    <w:rsid w:val="00F86A1E"/>
    <w:rsid w:val="00FA498A"/>
    <w:rsid w:val="00FA5E88"/>
    <w:rsid w:val="00FF06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D5BA6C16-58BF-45EE-88EC-4171397C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98A"/>
    <w:pPr>
      <w:widowControl w:val="0"/>
      <w:bidi/>
      <w:spacing w:line="360" w:lineRule="auto"/>
      <w:ind w:left="340"/>
      <w:contextualSpacing/>
      <w:jc w:val="both"/>
    </w:pPr>
    <w:rPr>
      <w:rFonts w:ascii="David" w:eastAsiaTheme="minorHAnsi" w:hAnsi="David" w:cs="David"/>
      <w:sz w:val="24"/>
      <w:szCs w:val="24"/>
    </w:rPr>
  </w:style>
  <w:style w:type="paragraph" w:styleId="1">
    <w:name w:val="heading 1"/>
    <w:basedOn w:val="a"/>
    <w:next w:val="a"/>
    <w:link w:val="10"/>
    <w:uiPriority w:val="9"/>
    <w:qFormat/>
    <w:rsid w:val="00FA498A"/>
    <w:pPr>
      <w:keepNext/>
      <w:keepLines/>
      <w:spacing w:before="240"/>
      <w:jc w:val="center"/>
      <w:outlineLvl w:val="0"/>
    </w:pPr>
    <w:rPr>
      <w:rFonts w:asciiTheme="majorHAnsi" w:eastAsiaTheme="majorEastAsia" w:hAnsiTheme="majorHAnsi"/>
      <w:bCs/>
      <w:sz w:val="32"/>
      <w:szCs w:val="36"/>
    </w:rPr>
  </w:style>
  <w:style w:type="paragraph" w:styleId="2">
    <w:name w:val="heading 2"/>
    <w:basedOn w:val="a"/>
    <w:next w:val="a"/>
    <w:link w:val="20"/>
    <w:unhideWhenUsed/>
    <w:qFormat/>
    <w:rsid w:val="00FA498A"/>
    <w:pPr>
      <w:ind w:left="0"/>
      <w:jc w:val="left"/>
      <w:outlineLvl w:val="1"/>
    </w:pPr>
    <w:rPr>
      <w:rFonts w:asciiTheme="majorHAnsi" w:eastAsiaTheme="majorEastAsia" w:hAnsiTheme="majorHAnsi"/>
      <w:bCs/>
      <w:sz w:val="26"/>
      <w:szCs w:val="36"/>
      <w:u w:val="single"/>
    </w:rPr>
  </w:style>
  <w:style w:type="paragraph" w:styleId="3">
    <w:name w:val="heading 3"/>
    <w:basedOn w:val="a"/>
    <w:next w:val="a"/>
    <w:link w:val="30"/>
    <w:unhideWhenUsed/>
    <w:qFormat/>
    <w:rsid w:val="00FA498A"/>
    <w:pPr>
      <w:spacing w:before="40"/>
      <w:ind w:left="0"/>
      <w:jc w:val="left"/>
      <w:outlineLvl w:val="2"/>
    </w:pPr>
    <w:rPr>
      <w:rFonts w:asciiTheme="majorHAnsi" w:eastAsiaTheme="majorEastAsia" w:hAnsiTheme="majorHAnsi"/>
      <w:szCs w:val="28"/>
      <w:u w:val="double"/>
    </w:rPr>
  </w:style>
  <w:style w:type="paragraph" w:styleId="4">
    <w:name w:val="heading 4"/>
    <w:basedOn w:val="a"/>
    <w:next w:val="a"/>
    <w:link w:val="40"/>
    <w:uiPriority w:val="9"/>
    <w:unhideWhenUsed/>
    <w:qFormat/>
    <w:rsid w:val="00FA498A"/>
    <w:pPr>
      <w:numPr>
        <w:numId w:val="23"/>
      </w:numPr>
      <w:spacing w:before="40" w:after="120"/>
      <w:outlineLvl w:val="3"/>
    </w:pPr>
    <w:rPr>
      <w:b/>
      <w:bCs/>
      <w:color w:val="000000" w:themeColor="text1"/>
      <w:szCs w:val="28"/>
    </w:rPr>
  </w:style>
  <w:style w:type="paragraph" w:styleId="5">
    <w:name w:val="heading 5"/>
    <w:basedOn w:val="a"/>
    <w:next w:val="a"/>
    <w:link w:val="50"/>
    <w:uiPriority w:val="9"/>
    <w:unhideWhenUsed/>
    <w:qFormat/>
    <w:rsid w:val="00FA498A"/>
    <w:pPr>
      <w:spacing w:line="259" w:lineRule="auto"/>
      <w:outlineLvl w:val="4"/>
    </w:pPr>
    <w:rPr>
      <w:color w:val="000000" w:themeColor="text1"/>
    </w:rPr>
  </w:style>
  <w:style w:type="character" w:default="1" w:styleId="a0">
    <w:name w:val="Default Paragraph Font"/>
    <w:uiPriority w:val="1"/>
    <w:semiHidden/>
    <w:unhideWhenUsed/>
    <w:rsid w:val="00FA498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FA498A"/>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FA498A"/>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FA498A"/>
    <w:rPr>
      <w:sz w:val="36"/>
      <w:szCs w:val="52"/>
    </w:rPr>
  </w:style>
  <w:style w:type="paragraph" w:customStyle="1" w:styleId="Cover3-Haknesset">
    <w:name w:val="Cover 3-Haknesset"/>
    <w:basedOn w:val="Cover1-Reshumot"/>
    <w:rsid w:val="00FA498A"/>
    <w:rPr>
      <w:b/>
      <w:bCs/>
      <w:spacing w:val="60"/>
    </w:rPr>
  </w:style>
  <w:style w:type="paragraph" w:customStyle="1" w:styleId="Cover4-Date">
    <w:name w:val="Cover 4-Date"/>
    <w:basedOn w:val="a"/>
    <w:rsid w:val="00FA498A"/>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FA498A"/>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FA498A"/>
    <w:pPr>
      <w:keepNext/>
      <w:keepLines/>
      <w:snapToGrid w:val="0"/>
      <w:spacing w:before="240"/>
      <w:jc w:val="center"/>
      <w:outlineLvl w:val="0"/>
    </w:pPr>
    <w:rPr>
      <w:rFonts w:ascii="Arial" w:eastAsia="Arial Unicode MS" w:hAnsi="Arial"/>
      <w:b/>
      <w:bCs/>
      <w:snapToGrid w:val="0"/>
      <w:sz w:val="20"/>
      <w:szCs w:val="26"/>
    </w:rPr>
  </w:style>
  <w:style w:type="paragraph" w:customStyle="1" w:styleId="HeadHatzaotHok4Futer">
    <w:name w:val="Head HatzaotHok4Futer"/>
    <w:basedOn w:val="HeadHatzaotHok"/>
    <w:rsid w:val="00FA498A"/>
    <w:pPr>
      <w:spacing w:before="120" w:after="120"/>
    </w:pPr>
    <w:rPr>
      <w:color w:val="FF0000"/>
      <w:w w:val="80"/>
    </w:rPr>
  </w:style>
  <w:style w:type="paragraph" w:styleId="a3">
    <w:name w:val="endnote text"/>
    <w:basedOn w:val="a"/>
    <w:semiHidden/>
    <w:rsid w:val="00FA498A"/>
    <w:pPr>
      <w:ind w:left="227" w:hanging="227"/>
    </w:pPr>
    <w:rPr>
      <w:sz w:val="14"/>
      <w:szCs w:val="22"/>
    </w:rPr>
  </w:style>
  <w:style w:type="paragraph" w:customStyle="1" w:styleId="TableText">
    <w:name w:val="Table Text"/>
    <w:basedOn w:val="a"/>
    <w:rsid w:val="00FA498A"/>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FA498A"/>
    <w:pPr>
      <w:outlineLvl w:val="2"/>
    </w:pPr>
  </w:style>
  <w:style w:type="paragraph" w:customStyle="1" w:styleId="TableBlock">
    <w:name w:val="Table Block"/>
    <w:basedOn w:val="TableText"/>
    <w:rsid w:val="00FA498A"/>
    <w:pPr>
      <w:jc w:val="both"/>
    </w:pPr>
  </w:style>
  <w:style w:type="paragraph" w:customStyle="1" w:styleId="TableHead">
    <w:name w:val="Table Head"/>
    <w:basedOn w:val="TableText"/>
    <w:rsid w:val="00FA498A"/>
    <w:pPr>
      <w:jc w:val="center"/>
      <w:outlineLvl w:val="1"/>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FA498A"/>
    <w:pPr>
      <w:outlineLvl w:val="9"/>
    </w:pPr>
  </w:style>
  <w:style w:type="paragraph" w:customStyle="1" w:styleId="Hesber">
    <w:name w:val="Hesber"/>
    <w:basedOn w:val="a"/>
    <w:rsid w:val="00FA498A"/>
    <w:pPr>
      <w:snapToGrid w:val="0"/>
      <w:ind w:left="0" w:firstLine="340"/>
    </w:pPr>
    <w:rPr>
      <w:rFonts w:ascii="Arial" w:eastAsia="Arial Unicode MS" w:hAnsi="Arial"/>
      <w:snapToGrid w:val="0"/>
      <w:sz w:val="20"/>
      <w:szCs w:val="26"/>
    </w:rPr>
  </w:style>
  <w:style w:type="paragraph" w:styleId="a4">
    <w:name w:val="footnote text"/>
    <w:basedOn w:val="a"/>
    <w:autoRedefine/>
    <w:semiHidden/>
    <w:rsid w:val="00FA498A"/>
    <w:pPr>
      <w:snapToGrid w:val="0"/>
      <w:spacing w:line="240" w:lineRule="auto"/>
      <w:ind w:left="0"/>
      <w:jc w:val="left"/>
    </w:pPr>
    <w:rPr>
      <w:rFonts w:ascii="Arial" w:eastAsia="Arial Unicode MS" w:hAnsi="Arial"/>
      <w:snapToGrid w:val="0"/>
      <w:sz w:val="14"/>
      <w:szCs w:val="20"/>
    </w:rPr>
  </w:style>
  <w:style w:type="character" w:styleId="a5">
    <w:name w:val="footnote reference"/>
    <w:aliases w:val="Footnote Reference"/>
    <w:basedOn w:val="a0"/>
    <w:semiHidden/>
    <w:rsid w:val="00FA498A"/>
    <w:rPr>
      <w:vertAlign w:val="superscript"/>
    </w:rPr>
  </w:style>
  <w:style w:type="paragraph" w:customStyle="1" w:styleId="HesberHeading">
    <w:name w:val="Hesber Heading"/>
    <w:basedOn w:val="Hesber"/>
    <w:rsid w:val="00FA498A"/>
    <w:pPr>
      <w:tabs>
        <w:tab w:val="left" w:pos="624"/>
        <w:tab w:val="left" w:pos="1247"/>
      </w:tabs>
    </w:pPr>
    <w:rPr>
      <w:b/>
      <w:bCs/>
    </w:rPr>
  </w:style>
  <w:style w:type="paragraph" w:customStyle="1" w:styleId="HesberWriters">
    <w:name w:val="Hesber Writers"/>
    <w:basedOn w:val="Hesber"/>
    <w:rsid w:val="00FA498A"/>
    <w:pPr>
      <w:spacing w:before="120" w:after="120"/>
      <w:ind w:left="1418"/>
      <w:jc w:val="right"/>
    </w:pPr>
    <w:rPr>
      <w:b/>
      <w:bCs/>
    </w:rPr>
  </w:style>
  <w:style w:type="paragraph" w:customStyle="1" w:styleId="Hesber1st">
    <w:name w:val="Hesber 1st"/>
    <w:basedOn w:val="Hesber"/>
    <w:rsid w:val="00FA498A"/>
    <w:pPr>
      <w:tabs>
        <w:tab w:val="left" w:pos="680"/>
        <w:tab w:val="left" w:pos="1020"/>
      </w:tabs>
      <w:ind w:firstLine="0"/>
    </w:pPr>
  </w:style>
  <w:style w:type="character" w:styleId="a6">
    <w:name w:val="endnote reference"/>
    <w:basedOn w:val="a0"/>
    <w:semiHidden/>
    <w:rsid w:val="00FA498A"/>
    <w:rPr>
      <w:vertAlign w:val="superscript"/>
    </w:rPr>
  </w:style>
  <w:style w:type="paragraph" w:customStyle="1" w:styleId="TableBlockOutdent">
    <w:name w:val="Table BlockOutdent"/>
    <w:basedOn w:val="TableBlock"/>
    <w:rsid w:val="00FA498A"/>
    <w:pPr>
      <w:ind w:left="624" w:hanging="624"/>
    </w:pPr>
  </w:style>
  <w:style w:type="paragraph" w:styleId="a7">
    <w:name w:val="header"/>
    <w:basedOn w:val="a"/>
    <w:rsid w:val="00FA498A"/>
    <w:pPr>
      <w:tabs>
        <w:tab w:val="center" w:pos="4153"/>
        <w:tab w:val="right" w:pos="8306"/>
      </w:tabs>
    </w:pPr>
  </w:style>
  <w:style w:type="paragraph" w:styleId="a8">
    <w:name w:val="footer"/>
    <w:basedOn w:val="a"/>
    <w:rsid w:val="00FA498A"/>
    <w:pPr>
      <w:tabs>
        <w:tab w:val="center" w:pos="4153"/>
        <w:tab w:val="right" w:pos="8306"/>
      </w:tabs>
    </w:pPr>
  </w:style>
  <w:style w:type="paragraph" w:customStyle="1" w:styleId="HeadDivreiHesber">
    <w:name w:val="Head DivreiHesber"/>
    <w:basedOn w:val="a"/>
    <w:rsid w:val="00FA498A"/>
    <w:pPr>
      <w:snapToGrid w:val="0"/>
      <w:spacing w:before="360" w:after="120"/>
      <w:jc w:val="center"/>
      <w:outlineLvl w:val="1"/>
    </w:pPr>
    <w:rPr>
      <w:rFonts w:ascii="Arial" w:eastAsia="Arial Unicode MS" w:hAnsi="Arial"/>
      <w:b/>
      <w:snapToGrid w:val="0"/>
      <w:spacing w:val="40"/>
      <w:sz w:val="20"/>
      <w:szCs w:val="26"/>
    </w:rPr>
  </w:style>
  <w:style w:type="paragraph" w:customStyle="1" w:styleId="Ragil">
    <w:name w:val="Ragil"/>
    <w:basedOn w:val="a"/>
    <w:rsid w:val="00FA498A"/>
    <w:pPr>
      <w:snapToGrid w:val="0"/>
      <w:jc w:val="left"/>
    </w:pPr>
    <w:rPr>
      <w:rFonts w:ascii="Arial" w:eastAsia="Arial Unicode MS" w:hAnsi="Arial"/>
      <w:snapToGrid w:val="0"/>
      <w:sz w:val="20"/>
      <w:szCs w:val="26"/>
    </w:rPr>
  </w:style>
  <w:style w:type="paragraph" w:styleId="a9">
    <w:name w:val="Title"/>
    <w:basedOn w:val="a"/>
    <w:qFormat/>
    <w:rsid w:val="00943386"/>
    <w:pPr>
      <w:jc w:val="center"/>
    </w:pPr>
    <w:rPr>
      <w:b/>
      <w:bCs/>
      <w:sz w:val="28"/>
      <w:szCs w:val="28"/>
      <w:u w:val="single"/>
    </w:rPr>
  </w:style>
  <w:style w:type="character" w:styleId="aa">
    <w:name w:val="page number"/>
    <w:basedOn w:val="a0"/>
    <w:rsid w:val="00FA498A"/>
  </w:style>
  <w:style w:type="paragraph" w:customStyle="1" w:styleId="David">
    <w:name w:val="רגיל + (עברית ושפות אחרות) David"/>
    <w:aliases w:val="‏13 נק',מודגש,אחרי:  6 נק'"/>
    <w:basedOn w:val="a"/>
    <w:rsid w:val="001207F8"/>
    <w:pPr>
      <w:jc w:val="left"/>
    </w:pPr>
    <w:rPr>
      <w:sz w:val="26"/>
      <w:szCs w:val="26"/>
    </w:rPr>
  </w:style>
  <w:style w:type="paragraph" w:styleId="ab">
    <w:name w:val="Balloon Text"/>
    <w:basedOn w:val="a"/>
    <w:link w:val="ac"/>
    <w:semiHidden/>
    <w:unhideWhenUsed/>
    <w:rsid w:val="00325C14"/>
    <w:pPr>
      <w:spacing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 w:type="character" w:customStyle="1" w:styleId="10">
    <w:name w:val="כותרת 1 תו"/>
    <w:basedOn w:val="a0"/>
    <w:link w:val="1"/>
    <w:uiPriority w:val="9"/>
    <w:rsid w:val="00FA498A"/>
    <w:rPr>
      <w:rFonts w:asciiTheme="majorHAnsi" w:eastAsiaTheme="majorEastAsia" w:hAnsiTheme="majorHAnsi" w:cs="David"/>
      <w:bCs/>
      <w:sz w:val="32"/>
      <w:szCs w:val="36"/>
    </w:rPr>
  </w:style>
  <w:style w:type="character" w:customStyle="1" w:styleId="20">
    <w:name w:val="כותרת 2 תו"/>
    <w:basedOn w:val="a0"/>
    <w:link w:val="2"/>
    <w:rsid w:val="00FA498A"/>
    <w:rPr>
      <w:rFonts w:asciiTheme="majorHAnsi" w:eastAsiaTheme="majorEastAsia" w:hAnsiTheme="majorHAnsi" w:cs="David"/>
      <w:bCs/>
      <w:sz w:val="26"/>
      <w:szCs w:val="36"/>
      <w:u w:val="single"/>
    </w:rPr>
  </w:style>
  <w:style w:type="character" w:customStyle="1" w:styleId="30">
    <w:name w:val="כותרת 3 תו"/>
    <w:basedOn w:val="a0"/>
    <w:link w:val="3"/>
    <w:rsid w:val="00FA498A"/>
    <w:rPr>
      <w:rFonts w:asciiTheme="majorHAnsi" w:eastAsiaTheme="majorEastAsia" w:hAnsiTheme="majorHAnsi" w:cs="David"/>
      <w:sz w:val="24"/>
      <w:szCs w:val="28"/>
      <w:u w:val="double"/>
    </w:rPr>
  </w:style>
  <w:style w:type="character" w:customStyle="1" w:styleId="40">
    <w:name w:val="כותרת 4 תו"/>
    <w:basedOn w:val="a0"/>
    <w:link w:val="4"/>
    <w:uiPriority w:val="9"/>
    <w:rsid w:val="00FA498A"/>
    <w:rPr>
      <w:rFonts w:ascii="David" w:eastAsiaTheme="minorHAnsi" w:hAnsi="David" w:cs="David"/>
      <w:b/>
      <w:bCs/>
      <w:color w:val="000000" w:themeColor="text1"/>
      <w:sz w:val="24"/>
      <w:szCs w:val="28"/>
    </w:rPr>
  </w:style>
  <w:style w:type="character" w:customStyle="1" w:styleId="50">
    <w:name w:val="כותרת 5 תו"/>
    <w:basedOn w:val="a0"/>
    <w:link w:val="5"/>
    <w:uiPriority w:val="9"/>
    <w:rsid w:val="00FA498A"/>
    <w:rPr>
      <w:rFonts w:ascii="David" w:eastAsiaTheme="minorHAnsi" w:hAnsi="David" w:cs="David"/>
      <w:color w:val="000000" w:themeColor="text1"/>
      <w:sz w:val="24"/>
      <w:szCs w:val="24"/>
    </w:rPr>
  </w:style>
  <w:style w:type="paragraph" w:styleId="ad">
    <w:name w:val="TOC Heading"/>
    <w:basedOn w:val="1"/>
    <w:next w:val="a"/>
    <w:uiPriority w:val="39"/>
    <w:unhideWhenUsed/>
    <w:qFormat/>
    <w:rsid w:val="00FA498A"/>
    <w:pPr>
      <w:widowControl/>
      <w:spacing w:before="120" w:after="120"/>
      <w:outlineLvl w:val="9"/>
    </w:pPr>
    <w:rPr>
      <w:rtl/>
      <w:cs/>
    </w:rPr>
  </w:style>
  <w:style w:type="paragraph" w:styleId="TOC1">
    <w:name w:val="toc 1"/>
    <w:basedOn w:val="a"/>
    <w:next w:val="a"/>
    <w:autoRedefine/>
    <w:uiPriority w:val="39"/>
    <w:unhideWhenUsed/>
    <w:rsid w:val="00FA498A"/>
    <w:pPr>
      <w:tabs>
        <w:tab w:val="right" w:leader="dot" w:pos="9629"/>
      </w:tabs>
      <w:spacing w:after="100"/>
    </w:pPr>
    <w:rPr>
      <w:bCs/>
      <w:szCs w:val="22"/>
    </w:rPr>
  </w:style>
  <w:style w:type="paragraph" w:styleId="TOC2">
    <w:name w:val="toc 2"/>
    <w:basedOn w:val="a"/>
    <w:next w:val="a"/>
    <w:uiPriority w:val="39"/>
    <w:unhideWhenUsed/>
    <w:rsid w:val="00FA498A"/>
    <w:pPr>
      <w:tabs>
        <w:tab w:val="right" w:leader="dot" w:pos="9628"/>
      </w:tabs>
      <w:spacing w:after="100"/>
    </w:pPr>
    <w:rPr>
      <w:szCs w:val="22"/>
    </w:rPr>
  </w:style>
  <w:style w:type="character" w:styleId="Hyperlink">
    <w:name w:val="Hyperlink"/>
    <w:basedOn w:val="a0"/>
    <w:uiPriority w:val="99"/>
    <w:unhideWhenUsed/>
    <w:rsid w:val="00FA498A"/>
    <w:rPr>
      <w:color w:val="0000FF" w:themeColor="hyperlink"/>
      <w:u w:val="single"/>
    </w:rPr>
  </w:style>
  <w:style w:type="paragraph" w:styleId="TOC3">
    <w:name w:val="toc 3"/>
    <w:basedOn w:val="a"/>
    <w:next w:val="a"/>
    <w:uiPriority w:val="39"/>
    <w:unhideWhenUsed/>
    <w:rsid w:val="00FA498A"/>
    <w:pPr>
      <w:numPr>
        <w:numId w:val="26"/>
      </w:numPr>
      <w:tabs>
        <w:tab w:val="right" w:leader="dot" w:pos="9629"/>
      </w:tabs>
      <w:spacing w:after="100"/>
      <w:ind w:left="811" w:hanging="357"/>
    </w:pPr>
    <w:rPr>
      <w:szCs w:val="22"/>
    </w:rPr>
  </w:style>
  <w:style w:type="paragraph" w:styleId="TOC4">
    <w:name w:val="toc 4"/>
    <w:basedOn w:val="a"/>
    <w:next w:val="a"/>
    <w:autoRedefine/>
    <w:unhideWhenUsed/>
    <w:qFormat/>
    <w:rsid w:val="00FA498A"/>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a"/>
    <w:next w:val="a"/>
    <w:semiHidden/>
    <w:unhideWhenUsed/>
    <w:rsid w:val="00FA498A"/>
    <w:pPr>
      <w:tabs>
        <w:tab w:val="right" w:leader="dot" w:pos="9628"/>
      </w:tabs>
      <w:spacing w:after="100"/>
      <w:ind w:left="567"/>
    </w:pPr>
    <w:rPr>
      <w:szCs w:val="22"/>
    </w:rPr>
  </w:style>
  <w:style w:type="paragraph" w:styleId="TOC6">
    <w:name w:val="toc 6"/>
    <w:basedOn w:val="a"/>
    <w:next w:val="a"/>
    <w:autoRedefine/>
    <w:semiHidden/>
    <w:unhideWhenUsed/>
    <w:rsid w:val="00FA498A"/>
    <w:pPr>
      <w:spacing w:after="100"/>
      <w:ind w:left="850"/>
    </w:pPr>
  </w:style>
  <w:style w:type="paragraph" w:styleId="TOC7">
    <w:name w:val="toc 7"/>
    <w:basedOn w:val="a"/>
    <w:next w:val="a"/>
    <w:autoRedefine/>
    <w:semiHidden/>
    <w:unhideWhenUsed/>
    <w:rsid w:val="00FA498A"/>
    <w:pPr>
      <w:spacing w:after="100"/>
      <w:ind w:left="1020"/>
    </w:pPr>
  </w:style>
  <w:style w:type="paragraph" w:styleId="TOC8">
    <w:name w:val="toc 8"/>
    <w:basedOn w:val="a"/>
    <w:next w:val="a"/>
    <w:autoRedefine/>
    <w:semiHidden/>
    <w:unhideWhenUsed/>
    <w:rsid w:val="00FA498A"/>
    <w:pPr>
      <w:spacing w:after="100"/>
      <w:ind w:left="1190"/>
    </w:pPr>
  </w:style>
  <w:style w:type="paragraph" w:styleId="TOC9">
    <w:name w:val="toc 9"/>
    <w:basedOn w:val="a"/>
    <w:next w:val="a"/>
    <w:autoRedefine/>
    <w:semiHidden/>
    <w:unhideWhenUsed/>
    <w:rsid w:val="00FA498A"/>
    <w:pPr>
      <w:spacing w:after="100"/>
      <w:ind w:left="1360"/>
    </w:pPr>
  </w:style>
  <w:style w:type="paragraph" w:customStyle="1" w:styleId="TableHead2">
    <w:name w:val="Table Head2"/>
    <w:basedOn w:val="TableHead"/>
    <w:qFormat/>
    <w:rsid w:val="00FA498A"/>
    <w:pPr>
      <w:outlineLvl w:val="9"/>
    </w:pPr>
  </w:style>
  <w:style w:type="paragraph" w:customStyle="1" w:styleId="TableSideHeading2">
    <w:name w:val="Table SideHeading2"/>
    <w:basedOn w:val="TableSideHeading"/>
    <w:autoRedefine/>
    <w:qFormat/>
    <w:rsid w:val="00FA498A"/>
    <w:pPr>
      <w:keepLines w:val="0"/>
      <w:outlineLvl w:val="9"/>
    </w:pPr>
  </w:style>
  <w:style w:type="paragraph" w:customStyle="1" w:styleId="0">
    <w:name w:val="סגנון שורה ראשונה:  0  ס''מ"/>
    <w:basedOn w:val="2"/>
    <w:rsid w:val="00FA498A"/>
    <w:rPr>
      <w:rFonts w:eastAsia="Times New Roman"/>
    </w:rPr>
  </w:style>
  <w:style w:type="paragraph" w:styleId="ae">
    <w:name w:val="List Paragraph"/>
    <w:basedOn w:val="a"/>
    <w:uiPriority w:val="34"/>
    <w:qFormat/>
    <w:rsid w:val="00FA498A"/>
    <w:pPr>
      <w:widowControl/>
      <w:spacing w:line="259" w:lineRule="auto"/>
    </w:pPr>
    <w:rPr>
      <w:rFonts w:asciiTheme="minorHAnsi" w:hAnsiTheme="minorHAnsi"/>
      <w:sz w:val="22"/>
    </w:rPr>
  </w:style>
  <w:style w:type="table" w:styleId="af">
    <w:name w:val="Table Grid"/>
    <w:basedOn w:val="a1"/>
    <w:rsid w:val="00FA4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FA498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FA498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0">
    <w:name w:val="טבלת חקיקה"/>
    <w:basedOn w:val="a1"/>
    <w:uiPriority w:val="99"/>
    <w:rsid w:val="00FA498A"/>
    <w:pPr>
      <w:jc w:val="center"/>
    </w:pPr>
    <w:rPr>
      <w:rFonts w:cstheme="minorBidi"/>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3">
    <w:name w:val="סגנון1"/>
    <w:basedOn w:val="a1"/>
    <w:uiPriority w:val="99"/>
    <w:rsid w:val="00FA498A"/>
    <w:tblPr/>
    <w:tblStylePr w:type="firstCol">
      <w:pPr>
        <w:keepNext w:val="0"/>
        <w:keepLines/>
        <w:pageBreakBefore w:val="0"/>
        <w:widowControl w:val="0"/>
        <w:suppressLineNumbers w:val="0"/>
        <w:suppressAutoHyphens w:val="0"/>
        <w:wordWrap/>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779829">
      <w:bodyDiv w:val="1"/>
      <w:marLeft w:val="0"/>
      <w:marRight w:val="0"/>
      <w:marTop w:val="0"/>
      <w:marBottom w:val="0"/>
      <w:divBdr>
        <w:top w:val="none" w:sz="0" w:space="0" w:color="auto"/>
        <w:left w:val="none" w:sz="0" w:space="0" w:color="auto"/>
        <w:bottom w:val="none" w:sz="0" w:space="0" w:color="auto"/>
        <w:right w:val="none" w:sz="0" w:space="0" w:color="auto"/>
      </w:divBdr>
    </w:div>
    <w:div w:id="492376134">
      <w:bodyDiv w:val="1"/>
      <w:marLeft w:val="0"/>
      <w:marRight w:val="0"/>
      <w:marTop w:val="0"/>
      <w:marBottom w:val="0"/>
      <w:divBdr>
        <w:top w:val="none" w:sz="0" w:space="0" w:color="auto"/>
        <w:left w:val="none" w:sz="0" w:space="0" w:color="auto"/>
        <w:bottom w:val="none" w:sz="0" w:space="0" w:color="auto"/>
        <w:right w:val="none" w:sz="0" w:space="0" w:color="auto"/>
      </w:divBdr>
    </w:div>
    <w:div w:id="1098912987">
      <w:bodyDiv w:val="1"/>
      <w:marLeft w:val="0"/>
      <w:marRight w:val="0"/>
      <w:marTop w:val="0"/>
      <w:marBottom w:val="0"/>
      <w:divBdr>
        <w:top w:val="none" w:sz="0" w:space="0" w:color="auto"/>
        <w:left w:val="none" w:sz="0" w:space="0" w:color="auto"/>
        <w:bottom w:val="none" w:sz="0" w:space="0" w:color="auto"/>
        <w:right w:val="none" w:sz="0" w:space="0" w:color="auto"/>
      </w:divBdr>
    </w:div>
    <w:div w:id="1104424665">
      <w:bodyDiv w:val="1"/>
      <w:marLeft w:val="0"/>
      <w:marRight w:val="0"/>
      <w:marTop w:val="0"/>
      <w:marBottom w:val="0"/>
      <w:divBdr>
        <w:top w:val="none" w:sz="0" w:space="0" w:color="auto"/>
        <w:left w:val="none" w:sz="0" w:space="0" w:color="auto"/>
        <w:bottom w:val="none" w:sz="0" w:space="0" w:color="auto"/>
        <w:right w:val="none" w:sz="0" w:space="0" w:color="auto"/>
      </w:divBdr>
    </w:div>
    <w:div w:id="1145929078">
      <w:bodyDiv w:val="1"/>
      <w:marLeft w:val="0"/>
      <w:marRight w:val="0"/>
      <w:marTop w:val="0"/>
      <w:marBottom w:val="0"/>
      <w:divBdr>
        <w:top w:val="none" w:sz="0" w:space="0" w:color="auto"/>
        <w:left w:val="none" w:sz="0" w:space="0" w:color="auto"/>
        <w:bottom w:val="none" w:sz="0" w:space="0" w:color="auto"/>
        <w:right w:val="none" w:sz="0" w:space="0" w:color="auto"/>
      </w:divBdr>
    </w:div>
    <w:div w:id="1363362591">
      <w:bodyDiv w:val="1"/>
      <w:marLeft w:val="0"/>
      <w:marRight w:val="0"/>
      <w:marTop w:val="0"/>
      <w:marBottom w:val="0"/>
      <w:divBdr>
        <w:top w:val="none" w:sz="0" w:space="0" w:color="auto"/>
        <w:left w:val="none" w:sz="0" w:space="0" w:color="auto"/>
        <w:bottom w:val="none" w:sz="0" w:space="0" w:color="auto"/>
        <w:right w:val="none" w:sz="0" w:space="0" w:color="auto"/>
      </w:divBdr>
    </w:div>
    <w:div w:id="1566842559">
      <w:bodyDiv w:val="1"/>
      <w:marLeft w:val="0"/>
      <w:marRight w:val="0"/>
      <w:marTop w:val="0"/>
      <w:marBottom w:val="0"/>
      <w:divBdr>
        <w:top w:val="none" w:sz="0" w:space="0" w:color="auto"/>
        <w:left w:val="none" w:sz="0" w:space="0" w:color="auto"/>
        <w:bottom w:val="none" w:sz="0" w:space="0" w:color="auto"/>
        <w:right w:val="none" w:sz="0" w:space="0" w:color="auto"/>
      </w:divBdr>
    </w:div>
    <w:div w:id="1660499816">
      <w:bodyDiv w:val="1"/>
      <w:marLeft w:val="0"/>
      <w:marRight w:val="0"/>
      <w:marTop w:val="0"/>
      <w:marBottom w:val="0"/>
      <w:divBdr>
        <w:top w:val="none" w:sz="0" w:space="0" w:color="auto"/>
        <w:left w:val="none" w:sz="0" w:space="0" w:color="auto"/>
        <w:bottom w:val="none" w:sz="0" w:space="0" w:color="auto"/>
        <w:right w:val="none" w:sz="0" w:space="0" w:color="auto"/>
      </w:divBdr>
    </w:div>
    <w:div w:id="1767262079">
      <w:bodyDiv w:val="1"/>
      <w:marLeft w:val="0"/>
      <w:marRight w:val="0"/>
      <w:marTop w:val="0"/>
      <w:marBottom w:val="0"/>
      <w:divBdr>
        <w:top w:val="none" w:sz="0" w:space="0" w:color="auto"/>
        <w:left w:val="none" w:sz="0" w:space="0" w:color="auto"/>
        <w:bottom w:val="none" w:sz="0" w:space="0" w:color="auto"/>
        <w:right w:val="none" w:sz="0" w:space="0" w:color="auto"/>
      </w:divBdr>
    </w:div>
    <w:div w:id="1918898563">
      <w:bodyDiv w:val="1"/>
      <w:marLeft w:val="0"/>
      <w:marRight w:val="0"/>
      <w:marTop w:val="0"/>
      <w:marBottom w:val="0"/>
      <w:divBdr>
        <w:top w:val="none" w:sz="0" w:space="0" w:color="auto"/>
        <w:left w:val="none" w:sz="0" w:space="0" w:color="auto"/>
        <w:bottom w:val="none" w:sz="0" w:space="0" w:color="auto"/>
        <w:right w:val="none" w:sz="0" w:space="0" w:color="auto"/>
      </w:divBdr>
    </w:div>
    <w:div w:id="1987709629">
      <w:bodyDiv w:val="1"/>
      <w:marLeft w:val="0"/>
      <w:marRight w:val="0"/>
      <w:marTop w:val="0"/>
      <w:marBottom w:val="0"/>
      <w:divBdr>
        <w:top w:val="none" w:sz="0" w:space="0" w:color="auto"/>
        <w:left w:val="none" w:sz="0" w:space="0" w:color="auto"/>
        <w:bottom w:val="none" w:sz="0" w:space="0" w:color="auto"/>
        <w:right w:val="none" w:sz="0" w:space="0" w:color="auto"/>
      </w:divBdr>
    </w:div>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 w:id="211093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54E21C28B32ECF49ADBB6A5BBBCCB3CD" ma:contentTypeVersion="" ma:contentTypeDescription="צור מסמך חדש." ma:contentTypeScope="" ma:versionID="f81d89568b860eeaa06327f0f2d2f14b">
  <xsd:schema xmlns:xsd="http://www.w3.org/2001/XMLSchema" xmlns:xs="http://www.w3.org/2001/XMLSchema" xmlns:p="http://schemas.microsoft.com/office/2006/metadata/properties" xmlns:ns2="290d5b49-c690-4c6f-bbb9-1e50dab33eee" targetNamespace="http://schemas.microsoft.com/office/2006/metadata/properties" ma:root="true" ma:fieldsID="a6db6e33f8462d87724f237088727803"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6F35A-459E-4FBC-935C-E36A6479C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d5b49-c690-4c6f-bbb9-1e50dab33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F4AFE3-9455-419C-8851-785A55F44517}">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290d5b49-c690-4c6f-bbb9-1e50dab33eee"/>
    <ds:schemaRef ds:uri="http://www.w3.org/XML/1998/namespace"/>
    <ds:schemaRef ds:uri="http://purl.org/dc/dcmitype/"/>
  </ds:schemaRefs>
</ds:datastoreItem>
</file>

<file path=customXml/itemProps3.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4.xml><?xml version="1.0" encoding="utf-8"?>
<ds:datastoreItem xmlns:ds="http://schemas.openxmlformats.org/officeDocument/2006/customXml" ds:itemID="{2CA3CBF4-5459-4F0E-BA2C-6B6712813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351</Words>
  <Characters>2001</Characters>
  <Application>Microsoft Office Word</Application>
  <DocSecurity>0</DocSecurity>
  <Lines>16</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טליה ווייס עמר</cp:lastModifiedBy>
  <cp:revision>6</cp:revision>
  <cp:lastPrinted>2022-11-29T12:58:00Z</cp:lastPrinted>
  <dcterms:created xsi:type="dcterms:W3CDTF">2015-04-20T09:58:00Z</dcterms:created>
  <dcterms:modified xsi:type="dcterms:W3CDTF">2022-12-07T10:51:00Z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0x01010054E21C28B32ECF49ADBB6A5BBBCCB3CD</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2197937</vt:r8>
  </property>
</Properties>
</file>